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46"/>
        <w:gridCol w:w="1960"/>
        <w:gridCol w:w="1175"/>
        <w:gridCol w:w="2048"/>
        <w:gridCol w:w="1774"/>
      </w:tblGrid>
      <w:tr w:rsidR="00376FBD">
        <w:trPr>
          <w:trHeight w:val="227"/>
          <w:jc w:val="center"/>
        </w:trPr>
        <w:tc>
          <w:tcPr>
            <w:tcW w:w="10103" w:type="dxa"/>
            <w:gridSpan w:val="5"/>
            <w:vAlign w:val="center"/>
          </w:tcPr>
          <w:p w:rsidR="00376FBD" w:rsidRDefault="00A25779">
            <w:pPr>
              <w:tabs>
                <w:tab w:val="left" w:pos="567"/>
              </w:tabs>
              <w:spacing w:before="40" w:after="40"/>
              <w:rPr>
                <w:b/>
                <w:bCs/>
                <w:lang w:val="sr-Cyrl-RS"/>
              </w:rPr>
            </w:pPr>
            <w:r>
              <w:rPr>
                <w:b/>
                <w:bCs/>
                <w:lang w:val="sr-Cyrl-RS"/>
              </w:rPr>
              <w:t>Студијски програм:</w:t>
            </w:r>
            <w:r>
              <w:rPr>
                <w:b/>
                <w:bCs/>
                <w:lang w:val="en-US"/>
              </w:rPr>
              <w:t xml:space="preserve"> </w:t>
            </w:r>
            <w:r>
              <w:t>O</w:t>
            </w:r>
            <w:r>
              <w:rPr>
                <w:lang w:val="sr-Cyrl-RS"/>
              </w:rPr>
              <w:t>сновне академске студије с</w:t>
            </w:r>
            <w:r>
              <w:t>оциологиј</w:t>
            </w:r>
            <w:r>
              <w:rPr>
                <w:lang w:val="sr-Cyrl-RS"/>
              </w:rPr>
              <w:t>е</w:t>
            </w:r>
          </w:p>
        </w:tc>
      </w:tr>
      <w:tr w:rsidR="00376FBD">
        <w:trPr>
          <w:trHeight w:val="227"/>
          <w:jc w:val="center"/>
        </w:trPr>
        <w:tc>
          <w:tcPr>
            <w:tcW w:w="10103" w:type="dxa"/>
            <w:gridSpan w:val="5"/>
            <w:vAlign w:val="center"/>
          </w:tcPr>
          <w:p w:rsidR="00376FBD" w:rsidRDefault="00A25779">
            <w:pPr>
              <w:tabs>
                <w:tab w:val="left" w:pos="567"/>
              </w:tabs>
              <w:spacing w:before="40" w:after="40"/>
              <w:rPr>
                <w:lang w:val="sr-Cyrl-RS"/>
              </w:rPr>
            </w:pPr>
            <w:r>
              <w:rPr>
                <w:b/>
                <w:bCs/>
                <w:lang w:val="sr-Cyrl-RS"/>
              </w:rPr>
              <w:t>Назив предмета:</w:t>
            </w:r>
            <w:r>
              <w:rPr>
                <w:bCs/>
                <w:lang w:val="sr-Cyrl-RS"/>
              </w:rPr>
              <w:t xml:space="preserve"> </w:t>
            </w:r>
            <w:r>
              <w:rPr>
                <w:bCs/>
              </w:rPr>
              <w:t>Социологија сазнања</w:t>
            </w:r>
          </w:p>
        </w:tc>
      </w:tr>
      <w:tr w:rsidR="00376FBD">
        <w:trPr>
          <w:trHeight w:val="227"/>
          <w:jc w:val="center"/>
        </w:trPr>
        <w:tc>
          <w:tcPr>
            <w:tcW w:w="10103" w:type="dxa"/>
            <w:gridSpan w:val="5"/>
            <w:vAlign w:val="center"/>
          </w:tcPr>
          <w:p w:rsidR="00376FBD" w:rsidRDefault="00A25779" w:rsidP="00EA71C7">
            <w:pPr>
              <w:tabs>
                <w:tab w:val="left" w:pos="567"/>
              </w:tabs>
              <w:spacing w:before="40" w:after="40"/>
              <w:rPr>
                <w:bCs/>
                <w:lang w:val="sr-Cyrl-RS"/>
              </w:rPr>
            </w:pPr>
            <w:r>
              <w:rPr>
                <w:b/>
                <w:bCs/>
                <w:lang w:val="sr-Cyrl-RS"/>
              </w:rPr>
              <w:t>Наставник</w:t>
            </w:r>
            <w:bookmarkStart w:id="0" w:name="_GoBack"/>
            <w:bookmarkEnd w:id="0"/>
            <w:r>
              <w:rPr>
                <w:b/>
                <w:bCs/>
                <w:lang w:val="sr-Cyrl-RS"/>
              </w:rPr>
              <w:t>:</w:t>
            </w:r>
            <w:r>
              <w:rPr>
                <w:b/>
                <w:bCs/>
                <w:lang w:val="en-US"/>
              </w:rPr>
              <w:t xml:space="preserve"> </w:t>
            </w:r>
            <w:r>
              <w:rPr>
                <w:bCs/>
                <w:lang w:val="sr-Cyrl-RS"/>
              </w:rPr>
              <w:t>Милош</w:t>
            </w:r>
            <w:r>
              <w:rPr>
                <w:bCs/>
                <w:lang w:val="en-US"/>
              </w:rPr>
              <w:t xml:space="preserve"> </w:t>
            </w:r>
            <w:r>
              <w:rPr>
                <w:bCs/>
                <w:lang w:val="sr-Cyrl-RS"/>
              </w:rPr>
              <w:t>М. Јовановић</w:t>
            </w:r>
          </w:p>
        </w:tc>
      </w:tr>
      <w:tr w:rsidR="00376FBD">
        <w:trPr>
          <w:trHeight w:val="227"/>
          <w:jc w:val="center"/>
        </w:trPr>
        <w:tc>
          <w:tcPr>
            <w:tcW w:w="10103" w:type="dxa"/>
            <w:gridSpan w:val="5"/>
            <w:vAlign w:val="center"/>
          </w:tcPr>
          <w:p w:rsidR="00376FBD" w:rsidRDefault="00A25779">
            <w:pPr>
              <w:tabs>
                <w:tab w:val="left" w:pos="567"/>
              </w:tabs>
              <w:spacing w:before="40" w:after="40"/>
              <w:rPr>
                <w:lang w:val="sr-Cyrl-RS"/>
              </w:rPr>
            </w:pPr>
            <w:r>
              <w:rPr>
                <w:b/>
                <w:bCs/>
                <w:lang w:val="sr-Cyrl-RS"/>
              </w:rPr>
              <w:t xml:space="preserve">Статус предмета: </w:t>
            </w:r>
            <w:r>
              <w:rPr>
                <w:bCs/>
                <w:lang w:val="sr-Cyrl-RS"/>
              </w:rPr>
              <w:t>обавезни</w:t>
            </w:r>
          </w:p>
        </w:tc>
      </w:tr>
      <w:tr w:rsidR="00376FBD">
        <w:trPr>
          <w:trHeight w:val="227"/>
          <w:jc w:val="center"/>
        </w:trPr>
        <w:tc>
          <w:tcPr>
            <w:tcW w:w="10103" w:type="dxa"/>
            <w:gridSpan w:val="5"/>
            <w:vAlign w:val="center"/>
          </w:tcPr>
          <w:p w:rsidR="00376FBD" w:rsidRDefault="00A25779">
            <w:pPr>
              <w:tabs>
                <w:tab w:val="left" w:pos="567"/>
              </w:tabs>
              <w:spacing w:before="40" w:after="40"/>
              <w:rPr>
                <w:lang w:val="sr-Cyrl-RS"/>
              </w:rPr>
            </w:pPr>
            <w:r>
              <w:rPr>
                <w:b/>
                <w:bCs/>
                <w:lang w:val="sr-Cyrl-RS"/>
              </w:rPr>
              <w:t xml:space="preserve">Број ЕСПБ: </w:t>
            </w:r>
            <w:r>
              <w:rPr>
                <w:bCs/>
                <w:lang w:val="sr-Cyrl-RS"/>
              </w:rPr>
              <w:t>5</w:t>
            </w:r>
          </w:p>
        </w:tc>
      </w:tr>
      <w:tr w:rsidR="00376FBD">
        <w:trPr>
          <w:trHeight w:val="227"/>
          <w:jc w:val="center"/>
        </w:trPr>
        <w:tc>
          <w:tcPr>
            <w:tcW w:w="10103" w:type="dxa"/>
            <w:gridSpan w:val="5"/>
            <w:vAlign w:val="center"/>
          </w:tcPr>
          <w:p w:rsidR="00376FBD" w:rsidRDefault="00A25779">
            <w:pPr>
              <w:widowControl/>
              <w:rPr>
                <w:sz w:val="17"/>
                <w:szCs w:val="17"/>
                <w:lang w:val="sr-Cyrl-RS" w:eastAsia="sr-Latn-RS"/>
              </w:rPr>
            </w:pPr>
            <w:r>
              <w:rPr>
                <w:b/>
                <w:bCs/>
                <w:lang w:val="sr-Cyrl-RS"/>
              </w:rPr>
              <w:t>Услов: /</w:t>
            </w:r>
          </w:p>
        </w:tc>
      </w:tr>
      <w:tr w:rsidR="00376FBD">
        <w:trPr>
          <w:trHeight w:val="227"/>
          <w:jc w:val="center"/>
        </w:trPr>
        <w:tc>
          <w:tcPr>
            <w:tcW w:w="10103" w:type="dxa"/>
            <w:gridSpan w:val="5"/>
            <w:vAlign w:val="center"/>
          </w:tcPr>
          <w:p w:rsidR="00376FBD" w:rsidRDefault="00A25779">
            <w:pPr>
              <w:tabs>
                <w:tab w:val="left" w:pos="567"/>
              </w:tabs>
              <w:spacing w:after="60"/>
              <w:rPr>
                <w:b/>
                <w:bCs/>
                <w:lang w:val="sr-Cyrl-RS"/>
              </w:rPr>
            </w:pPr>
            <w:r>
              <w:rPr>
                <w:b/>
                <w:bCs/>
                <w:lang w:val="sr-Cyrl-RS"/>
              </w:rPr>
              <w:t>Циљ предмета</w:t>
            </w:r>
          </w:p>
          <w:p w:rsidR="00376FBD" w:rsidRDefault="00A25779">
            <w:pPr>
              <w:tabs>
                <w:tab w:val="left" w:pos="567"/>
              </w:tabs>
              <w:spacing w:after="60"/>
              <w:jc w:val="both"/>
              <w:rPr>
                <w:bCs/>
                <w:lang w:val="sr-Cyrl-RS"/>
              </w:rPr>
            </w:pPr>
            <w:r>
              <w:rPr>
                <w:bCs/>
                <w:lang w:val="sr-Cyrl-RS"/>
              </w:rPr>
              <w:t>Упознавање студената са основним појмовима, историјским развојем и савременим теоријским приступима у социологији сазнања. Циљ предмета је разумевање специфичности социолошког проучавања знања и сазнајних процеса, као и анализа друштвених, историјских, културних и комуникативних услова производње, преношења и легитимисања знања. Посебна пажња посвећује се односу знања и друштвене стварности, знања, идеологије и моћи, свакодневног и научног знања, као и савременим перспективама развоја социологије сазнања.</w:t>
            </w:r>
          </w:p>
        </w:tc>
      </w:tr>
      <w:tr w:rsidR="00376FBD">
        <w:trPr>
          <w:trHeight w:val="227"/>
          <w:jc w:val="center"/>
        </w:trPr>
        <w:tc>
          <w:tcPr>
            <w:tcW w:w="10103" w:type="dxa"/>
            <w:gridSpan w:val="5"/>
            <w:vAlign w:val="center"/>
          </w:tcPr>
          <w:p w:rsidR="00376FBD" w:rsidRDefault="00A25779">
            <w:pPr>
              <w:tabs>
                <w:tab w:val="left" w:pos="567"/>
              </w:tabs>
              <w:spacing w:after="60"/>
              <w:jc w:val="both"/>
              <w:rPr>
                <w:b/>
                <w:bCs/>
                <w:lang w:val="sr-Cyrl-RS"/>
              </w:rPr>
            </w:pPr>
            <w:r>
              <w:rPr>
                <w:b/>
                <w:bCs/>
                <w:lang w:val="sr-Cyrl-RS"/>
              </w:rPr>
              <w:t xml:space="preserve">Исход предмета  </w:t>
            </w:r>
            <w:r>
              <w:rPr>
                <w:i/>
                <w:iCs/>
                <w:sz w:val="18"/>
                <w:szCs w:val="18"/>
              </w:rPr>
              <w:t>Пo зaвршeнoм курсу студeнти ћe бити у стaњу дa:</w:t>
            </w:r>
          </w:p>
          <w:p w:rsidR="00376FBD" w:rsidRDefault="00A25779">
            <w:pPr>
              <w:pStyle w:val="ListParagraph"/>
              <w:numPr>
                <w:ilvl w:val="0"/>
                <w:numId w:val="8"/>
              </w:numPr>
              <w:tabs>
                <w:tab w:val="left" w:pos="567"/>
              </w:tabs>
              <w:ind w:left="198" w:hanging="198"/>
              <w:jc w:val="both"/>
              <w:rPr>
                <w:bCs/>
                <w:sz w:val="18"/>
                <w:lang w:val="sr-Cyrl-RS"/>
              </w:rPr>
            </w:pPr>
            <w:r>
              <w:rPr>
                <w:bCs/>
                <w:sz w:val="18"/>
                <w:lang w:val="sr-Cyrl-RS"/>
              </w:rPr>
              <w:t>објасне историјске и теоријске претпоставке настанка социологије сазнања и разликују њене класичне и савремене правце</w:t>
            </w:r>
            <w:r>
              <w:rPr>
                <w:bCs/>
                <w:sz w:val="18"/>
                <w:lang w:val="en-US"/>
              </w:rPr>
              <w:t>;</w:t>
            </w:r>
          </w:p>
          <w:p w:rsidR="00376FBD" w:rsidRDefault="00A25779">
            <w:pPr>
              <w:pStyle w:val="ListParagraph"/>
              <w:numPr>
                <w:ilvl w:val="0"/>
                <w:numId w:val="8"/>
              </w:numPr>
              <w:tabs>
                <w:tab w:val="left" w:pos="567"/>
              </w:tabs>
              <w:ind w:left="198" w:hanging="198"/>
              <w:jc w:val="both"/>
              <w:rPr>
                <w:bCs/>
                <w:sz w:val="18"/>
                <w:lang w:val="sr-Cyrl-RS"/>
              </w:rPr>
            </w:pPr>
            <w:r>
              <w:rPr>
                <w:bCs/>
                <w:sz w:val="18"/>
                <w:lang w:val="sr-Cyrl-RS"/>
              </w:rPr>
              <w:t>разликују доксу, свакодневно, научно и идеолошко знање и образложе њихове друштвене функције и начине легитимисања</w:t>
            </w:r>
            <w:r>
              <w:rPr>
                <w:bCs/>
                <w:sz w:val="18"/>
                <w:lang w:val="en-US"/>
              </w:rPr>
              <w:t>;</w:t>
            </w:r>
          </w:p>
          <w:p w:rsidR="00376FBD" w:rsidRDefault="00A25779">
            <w:pPr>
              <w:pStyle w:val="ListParagraph"/>
              <w:numPr>
                <w:ilvl w:val="0"/>
                <w:numId w:val="8"/>
              </w:numPr>
              <w:tabs>
                <w:tab w:val="left" w:pos="567"/>
              </w:tabs>
              <w:ind w:left="198" w:hanging="198"/>
              <w:jc w:val="both"/>
              <w:rPr>
                <w:bCs/>
                <w:sz w:val="18"/>
                <w:lang w:val="sr-Cyrl-RS"/>
              </w:rPr>
            </w:pPr>
            <w:r>
              <w:rPr>
                <w:bCs/>
                <w:sz w:val="18"/>
                <w:lang w:val="sr-Cyrl-RS"/>
              </w:rPr>
              <w:t>упореде марксистичке и немарксистичке теорије идеологије и интерпретирају кључне појмове као што су идеологија, „лажна</w:t>
            </w:r>
            <w:r>
              <w:rPr>
                <w:bCs/>
                <w:sz w:val="18"/>
                <w:lang w:val="en-US"/>
              </w:rPr>
              <w:t>”</w:t>
            </w:r>
            <w:r>
              <w:rPr>
                <w:bCs/>
                <w:sz w:val="18"/>
                <w:lang w:val="sr-Cyrl-RS"/>
              </w:rPr>
              <w:t>/искривљена свест, фетишизација, хегемонија и критика идеологије</w:t>
            </w:r>
            <w:r>
              <w:rPr>
                <w:bCs/>
                <w:sz w:val="18"/>
                <w:lang w:val="en-US"/>
              </w:rPr>
              <w:t>;</w:t>
            </w:r>
          </w:p>
          <w:p w:rsidR="00376FBD" w:rsidRDefault="00A25779">
            <w:pPr>
              <w:pStyle w:val="ListParagraph"/>
              <w:numPr>
                <w:ilvl w:val="0"/>
                <w:numId w:val="8"/>
              </w:numPr>
              <w:tabs>
                <w:tab w:val="left" w:pos="567"/>
              </w:tabs>
              <w:ind w:left="198" w:hanging="198"/>
              <w:jc w:val="both"/>
              <w:rPr>
                <w:bCs/>
                <w:sz w:val="18"/>
                <w:lang w:val="sr-Cyrl-RS"/>
              </w:rPr>
            </w:pPr>
            <w:r>
              <w:rPr>
                <w:bCs/>
                <w:sz w:val="18"/>
                <w:lang w:val="sr-Cyrl-RS"/>
              </w:rPr>
              <w:t>образложе Манхајмов допринос социологији сазнања, нарочито појмове тоталне</w:t>
            </w:r>
            <w:r>
              <w:rPr>
                <w:bCs/>
                <w:sz w:val="18"/>
                <w:lang w:val="en-US"/>
              </w:rPr>
              <w:t xml:space="preserve"> </w:t>
            </w:r>
            <w:r>
              <w:rPr>
                <w:bCs/>
                <w:sz w:val="18"/>
                <w:lang w:val="sr-Cyrl-RS"/>
              </w:rPr>
              <w:t>и партикуларне идеологије, релационизма и егзистенцијалне условљености мишљења;</w:t>
            </w:r>
          </w:p>
          <w:p w:rsidR="00376FBD" w:rsidRDefault="00A25779">
            <w:pPr>
              <w:pStyle w:val="ListParagraph"/>
              <w:numPr>
                <w:ilvl w:val="0"/>
                <w:numId w:val="8"/>
              </w:numPr>
              <w:tabs>
                <w:tab w:val="left" w:pos="567"/>
              </w:tabs>
              <w:ind w:left="198" w:hanging="198"/>
              <w:jc w:val="both"/>
              <w:rPr>
                <w:bCs/>
                <w:sz w:val="18"/>
                <w:lang w:val="sr-Cyrl-RS"/>
              </w:rPr>
            </w:pPr>
            <w:r>
              <w:rPr>
                <w:bCs/>
                <w:sz w:val="18"/>
                <w:lang w:val="sr-Cyrl-RS"/>
              </w:rPr>
              <w:t>анализирају Бергер-Лукманов модел друштвене конструкције стварности кроз институционализацију, објективацију, легитимацију и интернализацију, и примене га на примере из свакодневног живота и функционисање друштвених институција;</w:t>
            </w:r>
          </w:p>
          <w:p w:rsidR="00376FBD" w:rsidRDefault="00A25779">
            <w:pPr>
              <w:pStyle w:val="ListParagraph"/>
              <w:numPr>
                <w:ilvl w:val="0"/>
                <w:numId w:val="8"/>
              </w:numPr>
              <w:tabs>
                <w:tab w:val="left" w:pos="567"/>
              </w:tabs>
              <w:ind w:left="198" w:hanging="198"/>
              <w:jc w:val="both"/>
              <w:rPr>
                <w:bCs/>
                <w:sz w:val="18"/>
                <w:lang w:val="sr-Cyrl-RS"/>
              </w:rPr>
            </w:pPr>
            <w:r>
              <w:rPr>
                <w:bCs/>
                <w:sz w:val="18"/>
                <w:lang w:val="sr-Cyrl-RS"/>
              </w:rPr>
              <w:t>разликују и повежу социјални конструкционизам, комуникативни конструктивизам, социолошку херменеутику и анализу дискурса из угла социологије сазнања;</w:t>
            </w:r>
          </w:p>
          <w:p w:rsidR="00376FBD" w:rsidRDefault="00A25779">
            <w:pPr>
              <w:pStyle w:val="ListParagraph"/>
              <w:numPr>
                <w:ilvl w:val="0"/>
                <w:numId w:val="8"/>
              </w:numPr>
              <w:tabs>
                <w:tab w:val="left" w:pos="567"/>
              </w:tabs>
              <w:ind w:left="198" w:hanging="198"/>
              <w:jc w:val="both"/>
              <w:rPr>
                <w:bCs/>
                <w:sz w:val="18"/>
                <w:lang w:val="sr-Cyrl-RS"/>
              </w:rPr>
            </w:pPr>
            <w:r>
              <w:rPr>
                <w:bCs/>
                <w:sz w:val="18"/>
                <w:lang w:val="sr-Cyrl-RS"/>
              </w:rPr>
              <w:t>примене основне појмове и аналитичке поступке социологије сазнања на тумачење теоријских текстова, медијских и културних садржаја, јавних дискурса и комуникативних пракси;</w:t>
            </w:r>
          </w:p>
          <w:p w:rsidR="00376FBD" w:rsidRDefault="00A25779">
            <w:pPr>
              <w:pStyle w:val="ListParagraph"/>
              <w:numPr>
                <w:ilvl w:val="0"/>
                <w:numId w:val="8"/>
              </w:numPr>
              <w:tabs>
                <w:tab w:val="left" w:pos="567"/>
              </w:tabs>
              <w:spacing w:after="60"/>
              <w:ind w:left="198" w:hanging="198"/>
              <w:jc w:val="both"/>
              <w:rPr>
                <w:bCs/>
                <w:sz w:val="18"/>
                <w:lang w:val="en-US"/>
              </w:rPr>
            </w:pPr>
            <w:r>
              <w:rPr>
                <w:bCs/>
                <w:sz w:val="18"/>
                <w:lang w:val="sr-Cyrl-RS"/>
              </w:rPr>
              <w:t>критички процене улогу знања и дискурса у механизмима друштвене репродукције, симболичке доминације и друштвене конструкције „стварности”, као и друштвене услове настанка, ширења и привлачности теорија завере.</w:t>
            </w:r>
          </w:p>
        </w:tc>
      </w:tr>
      <w:tr w:rsidR="00376FBD">
        <w:trPr>
          <w:trHeight w:val="227"/>
          <w:jc w:val="center"/>
        </w:trPr>
        <w:tc>
          <w:tcPr>
            <w:tcW w:w="10103" w:type="dxa"/>
            <w:gridSpan w:val="5"/>
            <w:vAlign w:val="center"/>
          </w:tcPr>
          <w:p w:rsidR="00376FBD" w:rsidRDefault="00A25779">
            <w:pPr>
              <w:tabs>
                <w:tab w:val="left" w:pos="567"/>
              </w:tabs>
              <w:spacing w:after="60"/>
              <w:rPr>
                <w:b/>
                <w:bCs/>
                <w:lang w:val="sr-Cyrl-RS"/>
              </w:rPr>
            </w:pPr>
            <w:r>
              <w:rPr>
                <w:b/>
                <w:bCs/>
                <w:lang w:val="sr-Cyrl-RS"/>
              </w:rPr>
              <w:t>Садржај предмета</w:t>
            </w:r>
          </w:p>
          <w:p w:rsidR="00376FBD" w:rsidRDefault="00A25779">
            <w:pPr>
              <w:tabs>
                <w:tab w:val="left" w:pos="567"/>
              </w:tabs>
            </w:pPr>
            <w:r>
              <w:rPr>
                <w:i/>
                <w:iCs/>
              </w:rPr>
              <w:t>Теоријска настава</w:t>
            </w:r>
          </w:p>
          <w:p w:rsidR="00376FBD" w:rsidRDefault="00A25779">
            <w:pPr>
              <w:pStyle w:val="ListParagraph"/>
              <w:numPr>
                <w:ilvl w:val="0"/>
                <w:numId w:val="7"/>
              </w:numPr>
              <w:ind w:left="479" w:hanging="122"/>
            </w:pPr>
            <w:r>
              <w:t>Марксистичка теорија идеологије I (појам идеологије, „лажна</w:t>
            </w:r>
            <w:r>
              <w:rPr>
                <w:lang w:val="sr-Cyrl-RS"/>
              </w:rPr>
              <w:t>”</w:t>
            </w:r>
            <w:r>
              <w:t>/„искривљена</w:t>
            </w:r>
            <w:r>
              <w:rPr>
                <w:lang w:val="sr-Cyrl-RS"/>
              </w:rPr>
              <w:t>”</w:t>
            </w:r>
            <w:r>
              <w:t xml:space="preserve"> свест)</w:t>
            </w:r>
          </w:p>
          <w:p w:rsidR="00376FBD" w:rsidRDefault="00A25779">
            <w:pPr>
              <w:pStyle w:val="ListParagraph"/>
              <w:numPr>
                <w:ilvl w:val="0"/>
                <w:numId w:val="7"/>
              </w:numPr>
              <w:ind w:left="479" w:hanging="122"/>
            </w:pPr>
            <w:r>
              <w:t xml:space="preserve">Марксистичка теорија идеологије II (фетишизација, </w:t>
            </w:r>
            <w:r>
              <w:rPr>
                <w:lang w:val="sr-Cyrl-RS"/>
              </w:rPr>
              <w:t xml:space="preserve">хегемонија, </w:t>
            </w:r>
            <w:r>
              <w:t>критика идеологије)</w:t>
            </w:r>
          </w:p>
          <w:p w:rsidR="00376FBD" w:rsidRDefault="00A25779">
            <w:pPr>
              <w:pStyle w:val="ListParagraph"/>
              <w:numPr>
                <w:ilvl w:val="0"/>
                <w:numId w:val="7"/>
              </w:numPr>
              <w:ind w:left="479" w:hanging="122"/>
              <w:rPr>
                <w:lang w:val="sr-Cyrl-RS"/>
              </w:rPr>
            </w:pPr>
            <w:r>
              <w:rPr>
                <w:lang w:val="sr-Cyrl-RS"/>
              </w:rPr>
              <w:t>Немарксистичка разматрања идеологије</w:t>
            </w:r>
          </w:p>
          <w:p w:rsidR="00376FBD" w:rsidRDefault="00A25779">
            <w:pPr>
              <w:pStyle w:val="ListParagraph"/>
              <w:numPr>
                <w:ilvl w:val="0"/>
                <w:numId w:val="7"/>
              </w:numPr>
              <w:ind w:left="479" w:hanging="122"/>
              <w:rPr>
                <w:lang w:val="sr-Cyrl-RS"/>
              </w:rPr>
            </w:pPr>
            <w:r>
              <w:rPr>
                <w:lang w:val="sr-Cyrl-RS"/>
              </w:rPr>
              <w:t>Докса, свакодневно знање, моћ</w:t>
            </w:r>
          </w:p>
          <w:p w:rsidR="00376FBD" w:rsidRDefault="00A25779">
            <w:pPr>
              <w:pStyle w:val="ListParagraph"/>
              <w:numPr>
                <w:ilvl w:val="0"/>
                <w:numId w:val="7"/>
              </w:numPr>
              <w:ind w:left="479" w:hanging="122"/>
              <w:rPr>
                <w:lang w:val="sr-Cyrl-RS"/>
              </w:rPr>
            </w:pPr>
            <w:r>
              <w:t xml:space="preserve">Манхајмова теорија идеологије, релационизам, егзистенцијална условљеност </w:t>
            </w:r>
            <w:r>
              <w:rPr>
                <w:lang w:val="sr-Cyrl-RS"/>
              </w:rPr>
              <w:t>мишљења</w:t>
            </w:r>
          </w:p>
          <w:p w:rsidR="00376FBD" w:rsidRDefault="00A25779">
            <w:pPr>
              <w:pStyle w:val="ListParagraph"/>
              <w:numPr>
                <w:ilvl w:val="0"/>
                <w:numId w:val="7"/>
              </w:numPr>
              <w:ind w:left="479" w:hanging="122"/>
            </w:pPr>
            <w:r>
              <w:t>Друштвена конструкција стварности I (друштво као објективна стварност)</w:t>
            </w:r>
          </w:p>
          <w:p w:rsidR="00376FBD" w:rsidRDefault="00A25779">
            <w:pPr>
              <w:pStyle w:val="ListParagraph"/>
              <w:numPr>
                <w:ilvl w:val="0"/>
                <w:numId w:val="7"/>
              </w:numPr>
              <w:ind w:left="479" w:hanging="122"/>
            </w:pPr>
            <w:r>
              <w:t>Друштвена конструкција стварности II (</w:t>
            </w:r>
            <w:r>
              <w:rPr>
                <w:lang w:val="sr-Cyrl-RS"/>
              </w:rPr>
              <w:t>легитимација и друштво као субјективна стварност</w:t>
            </w:r>
            <w:r>
              <w:t>)</w:t>
            </w:r>
          </w:p>
          <w:p w:rsidR="00376FBD" w:rsidRDefault="00A25779">
            <w:pPr>
              <w:pStyle w:val="ListParagraph"/>
              <w:numPr>
                <w:ilvl w:val="0"/>
                <w:numId w:val="7"/>
              </w:numPr>
              <w:ind w:left="479" w:hanging="122"/>
            </w:pPr>
            <w:r>
              <w:t>Друштвена конструкција стварности III (</w:t>
            </w:r>
            <w:r>
              <w:rPr>
                <w:lang w:val="sr-Cyrl-RS"/>
              </w:rPr>
              <w:t>микросоциологија сазнања</w:t>
            </w:r>
            <w:r>
              <w:t>)</w:t>
            </w:r>
          </w:p>
          <w:p w:rsidR="00376FBD" w:rsidRDefault="00A25779">
            <w:pPr>
              <w:pStyle w:val="ListParagraph"/>
              <w:numPr>
                <w:ilvl w:val="0"/>
                <w:numId w:val="7"/>
              </w:numPr>
              <w:ind w:left="479" w:hanging="122"/>
              <w:rPr>
                <w:lang w:val="sr-Latn-RS"/>
              </w:rPr>
            </w:pPr>
            <w:r>
              <w:rPr>
                <w:lang w:val="sr-Cyrl-RS"/>
              </w:rPr>
              <w:t xml:space="preserve">Комуникативни конструктивизам </w:t>
            </w:r>
            <w:r>
              <w:rPr>
                <w:lang w:val="en-US"/>
              </w:rPr>
              <w:t>I</w:t>
            </w:r>
            <w:r>
              <w:rPr>
                <w:lang w:val="sr-Latn-RS"/>
              </w:rPr>
              <w:t xml:space="preserve"> (o</w:t>
            </w:r>
            <w:r>
              <w:rPr>
                <w:lang w:val="sr-Cyrl-RS"/>
              </w:rPr>
              <w:t>сновни појмови и теоријско-истраживачки програм</w:t>
            </w:r>
            <w:r>
              <w:rPr>
                <w:lang w:val="sr-Latn-RS"/>
              </w:rPr>
              <w:t>)</w:t>
            </w:r>
          </w:p>
          <w:p w:rsidR="00376FBD" w:rsidRDefault="00A25779">
            <w:pPr>
              <w:pStyle w:val="ListParagraph"/>
              <w:numPr>
                <w:ilvl w:val="0"/>
                <w:numId w:val="7"/>
              </w:numPr>
              <w:ind w:left="479" w:hanging="122"/>
            </w:pPr>
            <w:r>
              <w:rPr>
                <w:lang w:val="sr-Cyrl-RS"/>
              </w:rPr>
              <w:t xml:space="preserve">Комуникативни конструктивизам </w:t>
            </w:r>
            <w:r>
              <w:rPr>
                <w:lang w:val="en-US"/>
              </w:rPr>
              <w:t>II</w:t>
            </w:r>
            <w:r>
              <w:rPr>
                <w:lang w:val="sr-Latn-RS"/>
              </w:rPr>
              <w:t xml:space="preserve"> (</w:t>
            </w:r>
            <w:r>
              <w:rPr>
                <w:lang w:val="sr-Cyrl-RS"/>
              </w:rPr>
              <w:t>комуникативна конструкција знања</w:t>
            </w:r>
            <w:r>
              <w:rPr>
                <w:lang w:val="sr-Latn-RS"/>
              </w:rPr>
              <w:t>)</w:t>
            </w:r>
          </w:p>
          <w:p w:rsidR="00376FBD" w:rsidRDefault="00A25779">
            <w:pPr>
              <w:pStyle w:val="ListParagraph"/>
              <w:numPr>
                <w:ilvl w:val="0"/>
                <w:numId w:val="7"/>
              </w:numPr>
              <w:ind w:left="479" w:hanging="122"/>
              <w:rPr>
                <w:lang w:val="sr-Cyrl-RS"/>
              </w:rPr>
            </w:pPr>
            <w:r>
              <w:t>Социолошка херменеутика</w:t>
            </w:r>
            <w:r>
              <w:rPr>
                <w:lang w:val="sr-Cyrl-RS"/>
              </w:rPr>
              <w:t xml:space="preserve"> и х</w:t>
            </w:r>
            <w:r>
              <w:t>ерменеутичка социологија знања</w:t>
            </w:r>
          </w:p>
          <w:p w:rsidR="00376FBD" w:rsidRDefault="00A25779">
            <w:pPr>
              <w:pStyle w:val="ListParagraph"/>
              <w:numPr>
                <w:ilvl w:val="0"/>
                <w:numId w:val="7"/>
              </w:numPr>
              <w:ind w:left="479" w:hanging="122"/>
              <w:rPr>
                <w:lang w:val="en-US"/>
              </w:rPr>
            </w:pPr>
            <w:r>
              <w:rPr>
                <w:lang w:val="sr-Cyrl-RS"/>
              </w:rPr>
              <w:t>Анализа дискурса из угла социологије сазнања</w:t>
            </w:r>
          </w:p>
          <w:p w:rsidR="00376FBD" w:rsidRDefault="00A25779">
            <w:pPr>
              <w:pStyle w:val="ListParagraph"/>
              <w:numPr>
                <w:ilvl w:val="0"/>
                <w:numId w:val="7"/>
              </w:numPr>
              <w:ind w:left="479" w:hanging="122"/>
            </w:pPr>
            <w:r>
              <w:t>Дискурс и идеологија</w:t>
            </w:r>
          </w:p>
          <w:p w:rsidR="00376FBD" w:rsidRDefault="00A25779">
            <w:pPr>
              <w:pStyle w:val="ListParagraph"/>
              <w:numPr>
                <w:ilvl w:val="0"/>
                <w:numId w:val="7"/>
              </w:numPr>
              <w:ind w:left="479" w:hanging="122"/>
              <w:rPr>
                <w:lang w:val="sr-Cyrl-RS"/>
              </w:rPr>
            </w:pPr>
            <w:r>
              <w:t>Социјални конструкционизам, дискурс</w:t>
            </w:r>
            <w:r>
              <w:rPr>
                <w:lang w:val="sr-Cyrl-RS"/>
              </w:rPr>
              <w:t xml:space="preserve"> и</w:t>
            </w:r>
            <w:r>
              <w:t xml:space="preserve"> стварност</w:t>
            </w:r>
          </w:p>
          <w:p w:rsidR="00376FBD" w:rsidRDefault="00A25779">
            <w:pPr>
              <w:pStyle w:val="ListParagraph"/>
              <w:numPr>
                <w:ilvl w:val="0"/>
                <w:numId w:val="7"/>
              </w:numPr>
              <w:spacing w:after="60"/>
              <w:ind w:left="479" w:hanging="122"/>
              <w:rPr>
                <w:lang w:val="sr-Cyrl-RS"/>
              </w:rPr>
            </w:pPr>
            <w:r>
              <w:rPr>
                <w:lang w:val="sr-Cyrl-RS"/>
              </w:rPr>
              <w:t>Социолошки аспекти теорија завере</w:t>
            </w:r>
          </w:p>
          <w:p w:rsidR="00376FBD" w:rsidRDefault="00A25779">
            <w:pPr>
              <w:tabs>
                <w:tab w:val="left" w:pos="567"/>
              </w:tabs>
              <w:spacing w:after="60"/>
              <w:rPr>
                <w:lang w:val="sr-Cyrl-RS"/>
              </w:rPr>
            </w:pPr>
            <w:r>
              <w:rPr>
                <w:i/>
                <w:iCs/>
              </w:rPr>
              <w:t xml:space="preserve">Практична настава: </w:t>
            </w:r>
            <w:r>
              <w:t>Вежбе</w:t>
            </w:r>
            <w:r>
              <w:rPr>
                <w:sz w:val="18"/>
              </w:rPr>
              <w:t xml:space="preserve"> (</w:t>
            </w:r>
            <w:r>
              <w:rPr>
                <w:sz w:val="18"/>
                <w:lang w:val="sr-Cyrl-RS"/>
              </w:rPr>
              <w:t xml:space="preserve">презентације, </w:t>
            </w:r>
            <w:r>
              <w:rPr>
                <w:sz w:val="18"/>
              </w:rPr>
              <w:t>анализа текстова</w:t>
            </w:r>
            <w:r>
              <w:rPr>
                <w:sz w:val="18"/>
                <w:lang w:val="sr-Cyrl-RS"/>
              </w:rPr>
              <w:t xml:space="preserve"> и аудио-видео материјала, дискусије)</w:t>
            </w:r>
          </w:p>
          <w:p w:rsidR="00376FBD" w:rsidRDefault="00376FBD">
            <w:pPr>
              <w:tabs>
                <w:tab w:val="left" w:pos="567"/>
              </w:tabs>
              <w:spacing w:after="60"/>
              <w:rPr>
                <w:i/>
                <w:iCs/>
                <w:lang w:val="sr-Cyrl-RS"/>
              </w:rPr>
            </w:pPr>
          </w:p>
        </w:tc>
      </w:tr>
      <w:tr w:rsidR="00376FBD">
        <w:trPr>
          <w:trHeight w:val="227"/>
          <w:jc w:val="center"/>
        </w:trPr>
        <w:tc>
          <w:tcPr>
            <w:tcW w:w="10103" w:type="dxa"/>
            <w:gridSpan w:val="5"/>
            <w:vAlign w:val="center"/>
          </w:tcPr>
          <w:p w:rsidR="00376FBD" w:rsidRDefault="00A25779">
            <w:pPr>
              <w:tabs>
                <w:tab w:val="left" w:pos="567"/>
              </w:tabs>
              <w:spacing w:after="60"/>
              <w:rPr>
                <w:bCs/>
                <w:sz w:val="18"/>
                <w:szCs w:val="18"/>
                <w:lang w:val="sr-Cyrl-RS"/>
              </w:rPr>
            </w:pPr>
            <w:r>
              <w:rPr>
                <w:b/>
                <w:bCs/>
                <w:lang w:val="sr-Cyrl-RS"/>
              </w:rPr>
              <w:t>Литература</w:t>
            </w:r>
            <w:r>
              <w:rPr>
                <w:bCs/>
                <w:sz w:val="18"/>
                <w:szCs w:val="18"/>
                <w:lang w:val="sr-Cyrl-RS"/>
              </w:rPr>
              <w:t xml:space="preserve">  </w:t>
            </w:r>
            <w:r>
              <w:rPr>
                <w:bCs/>
                <w:sz w:val="18"/>
                <w:szCs w:val="18"/>
                <w:lang w:val="sr-Latn-RS"/>
              </w:rPr>
              <w:t>(</w:t>
            </w:r>
            <w:r>
              <w:rPr>
                <w:bCs/>
                <w:sz w:val="18"/>
                <w:szCs w:val="18"/>
                <w:lang w:val="sr-Cyrl-RS"/>
              </w:rPr>
              <w:t>укупно 441 страница)</w:t>
            </w:r>
          </w:p>
          <w:p w:rsidR="00376FBD" w:rsidRDefault="00A25779">
            <w:pPr>
              <w:ind w:left="338" w:hanging="338"/>
              <w:rPr>
                <w:sz w:val="18"/>
                <w:szCs w:val="18"/>
                <w:lang w:val="sr-Latn-RS"/>
              </w:rPr>
            </w:pPr>
            <w:r>
              <w:rPr>
                <w:sz w:val="18"/>
                <w:szCs w:val="18"/>
                <w:lang w:val="sr-Latn-RS"/>
              </w:rPr>
              <w:t xml:space="preserve">Карл Маркс и Фридрих Енгелс </w:t>
            </w:r>
            <w:r>
              <w:rPr>
                <w:color w:val="002060"/>
                <w:sz w:val="18"/>
                <w:szCs w:val="18"/>
                <w:u w:color="FF0000"/>
                <w:lang w:val="sr-Latn-RS"/>
              </w:rPr>
              <w:t>·</w:t>
            </w:r>
            <w:r>
              <w:rPr>
                <w:sz w:val="18"/>
                <w:szCs w:val="18"/>
                <w:lang w:val="sr-Latn-RS"/>
              </w:rPr>
              <w:t xml:space="preserve"> „Идеологија уопште, а посебно немачка“ (</w:t>
            </w:r>
            <w:r>
              <w:rPr>
                <w:i/>
                <w:sz w:val="18"/>
                <w:szCs w:val="18"/>
                <w:lang w:val="sr-Latn-RS"/>
              </w:rPr>
              <w:t>Немачка идеологија</w:t>
            </w:r>
            <w:r>
              <w:rPr>
                <w:sz w:val="18"/>
                <w:szCs w:val="18"/>
                <w:lang w:val="sr-Latn-RS"/>
              </w:rPr>
              <w:t xml:space="preserve">, </w:t>
            </w:r>
            <w:r>
              <w:rPr>
                <w:i/>
                <w:sz w:val="18"/>
                <w:szCs w:val="18"/>
                <w:lang w:val="sr-Latn-RS"/>
              </w:rPr>
              <w:t>Дела · Том 6</w:t>
            </w:r>
            <w:r>
              <w:rPr>
                <w:sz w:val="18"/>
                <w:szCs w:val="18"/>
                <w:lang w:val="sr-Latn-RS"/>
              </w:rPr>
              <w:t>, Београд: Институт за изучавање радничког покрета; Просвета, 1974, стр. 16–68.)</w:t>
            </w:r>
          </w:p>
          <w:p w:rsidR="00376FBD" w:rsidRDefault="00A25779">
            <w:pPr>
              <w:ind w:left="338" w:hanging="338"/>
              <w:rPr>
                <w:sz w:val="18"/>
                <w:szCs w:val="18"/>
                <w:lang w:val="sr-Latn-RS"/>
              </w:rPr>
            </w:pPr>
            <w:r>
              <w:rPr>
                <w:sz w:val="18"/>
                <w:szCs w:val="18"/>
                <w:lang w:val="sr-Latn-RS"/>
              </w:rPr>
              <w:t xml:space="preserve">Карл Маркс </w:t>
            </w:r>
            <w:r>
              <w:rPr>
                <w:color w:val="002060"/>
                <w:sz w:val="18"/>
                <w:szCs w:val="18"/>
                <w:u w:color="FF0000"/>
                <w:lang w:val="sr-Latn-RS"/>
              </w:rPr>
              <w:t>·</w:t>
            </w:r>
            <w:r>
              <w:rPr>
                <w:sz w:val="18"/>
                <w:szCs w:val="18"/>
                <w:lang w:val="sr-Latn-RS"/>
              </w:rPr>
              <w:t xml:space="preserve"> „Фетишки карактер робе и његова тајна“ (</w:t>
            </w:r>
            <w:r>
              <w:rPr>
                <w:i/>
                <w:sz w:val="18"/>
                <w:szCs w:val="18"/>
                <w:lang w:val="sr-Latn-RS"/>
              </w:rPr>
              <w:t xml:space="preserve">Капитал, </w:t>
            </w:r>
            <w:r>
              <w:rPr>
                <w:i/>
                <w:sz w:val="18"/>
                <w:szCs w:val="18"/>
                <w:lang w:val="en-US"/>
              </w:rPr>
              <w:t>I</w:t>
            </w:r>
            <w:r>
              <w:rPr>
                <w:i/>
                <w:sz w:val="18"/>
                <w:szCs w:val="18"/>
                <w:lang w:val="sr-Latn-RS"/>
              </w:rPr>
              <w:t xml:space="preserve"> том</w:t>
            </w:r>
            <w:r>
              <w:rPr>
                <w:sz w:val="18"/>
                <w:szCs w:val="18"/>
                <w:lang w:val="sr-Latn-RS"/>
              </w:rPr>
              <w:t xml:space="preserve"> (Београд: Просвета, 1978, стр. 73–84.)</w:t>
            </w:r>
          </w:p>
          <w:p w:rsidR="00376FBD" w:rsidRDefault="00A25779">
            <w:pPr>
              <w:ind w:left="338" w:hanging="338"/>
              <w:rPr>
                <w:sz w:val="18"/>
                <w:szCs w:val="18"/>
                <w:lang w:val="sr-Latn-RS"/>
              </w:rPr>
            </w:pPr>
            <w:r>
              <w:rPr>
                <w:sz w:val="18"/>
                <w:szCs w:val="18"/>
                <w:lang w:val="sr-Latn-RS"/>
              </w:rPr>
              <w:t xml:space="preserve">Антонио Грамши </w:t>
            </w:r>
            <w:r>
              <w:rPr>
                <w:color w:val="002060"/>
                <w:sz w:val="18"/>
                <w:szCs w:val="18"/>
                <w:u w:color="FF0000"/>
                <w:lang w:val="sr-Latn-RS"/>
              </w:rPr>
              <w:t>·</w:t>
            </w:r>
            <w:r>
              <w:rPr>
                <w:sz w:val="18"/>
                <w:szCs w:val="18"/>
                <w:lang w:val="sr-Latn-RS"/>
              </w:rPr>
              <w:t xml:space="preserve"> „Хегемонија, интелектуалци и држава“ (Јелена Ђорђевић </w:t>
            </w:r>
            <w:r>
              <w:rPr>
                <w:color w:val="002060"/>
                <w:sz w:val="18"/>
                <w:szCs w:val="18"/>
                <w:u w:color="FF0000"/>
                <w:lang w:val="sr-Latn-RS"/>
              </w:rPr>
              <w:t>·</w:t>
            </w:r>
            <w:r>
              <w:rPr>
                <w:sz w:val="18"/>
                <w:szCs w:val="18"/>
                <w:lang w:val="sr-Latn-RS"/>
              </w:rPr>
              <w:t xml:space="preserve"> </w:t>
            </w:r>
            <w:r>
              <w:rPr>
                <w:i/>
                <w:sz w:val="18"/>
                <w:szCs w:val="18"/>
                <w:lang w:val="sr-Latn-RS"/>
              </w:rPr>
              <w:t>Студије културе: зборник</w:t>
            </w:r>
            <w:r>
              <w:rPr>
                <w:sz w:val="18"/>
                <w:szCs w:val="18"/>
                <w:lang w:val="sr-Latn-RS"/>
              </w:rPr>
              <w:t>, Београд: Службени гласник, 2008, стр. 148–154.)</w:t>
            </w:r>
          </w:p>
          <w:p w:rsidR="00376FBD" w:rsidRDefault="00A25779">
            <w:pPr>
              <w:ind w:left="338" w:hanging="338"/>
              <w:rPr>
                <w:sz w:val="18"/>
                <w:szCs w:val="18"/>
                <w:lang w:val="sr-Latn-RS"/>
              </w:rPr>
            </w:pPr>
            <w:r>
              <w:rPr>
                <w:sz w:val="18"/>
                <w:szCs w:val="18"/>
              </w:rPr>
              <w:t>Тома Пикети</w:t>
            </w:r>
            <w:r>
              <w:rPr>
                <w:sz w:val="18"/>
                <w:szCs w:val="18"/>
                <w:lang w:val="sr-Latn-RS"/>
              </w:rPr>
              <w:t xml:space="preserve"> </w:t>
            </w:r>
            <w:r>
              <w:rPr>
                <w:color w:val="002060"/>
                <w:sz w:val="18"/>
                <w:szCs w:val="18"/>
                <w:u w:color="FF0000"/>
                <w:lang w:val="sr-Latn-RS"/>
              </w:rPr>
              <w:t>·</w:t>
            </w:r>
            <w:r>
              <w:rPr>
                <w:sz w:val="18"/>
                <w:szCs w:val="18"/>
                <w:lang w:val="sr-Latn-RS"/>
              </w:rPr>
              <w:t xml:space="preserve"> „</w:t>
            </w:r>
            <w:r>
              <w:rPr>
                <w:sz w:val="18"/>
                <w:szCs w:val="18"/>
              </w:rPr>
              <w:t>Капитал и идеологија – Увод</w:t>
            </w:r>
            <w:r>
              <w:rPr>
                <w:sz w:val="18"/>
                <w:szCs w:val="18"/>
                <w:lang w:val="sr-Cyrl-RS"/>
              </w:rPr>
              <w:t>“</w:t>
            </w:r>
            <w:r>
              <w:rPr>
                <w:sz w:val="18"/>
                <w:szCs w:val="18"/>
                <w:lang w:val="sr-Latn-RS"/>
              </w:rPr>
              <w:t xml:space="preserve"> (</w:t>
            </w:r>
            <w:r>
              <w:rPr>
                <w:i/>
                <w:sz w:val="18"/>
                <w:szCs w:val="18"/>
                <w:lang w:val="sr-Latn-RS"/>
              </w:rPr>
              <w:t>Годишњак за социологију</w:t>
            </w:r>
            <w:r>
              <w:rPr>
                <w:sz w:val="18"/>
                <w:szCs w:val="18"/>
                <w:lang w:val="sr-Latn-RS"/>
              </w:rPr>
              <w:t xml:space="preserve"> XVI/24, 2020, стр. 67–79.)</w:t>
            </w:r>
          </w:p>
          <w:p w:rsidR="00376FBD" w:rsidRDefault="00A25779">
            <w:pPr>
              <w:ind w:left="338" w:hanging="338"/>
              <w:rPr>
                <w:sz w:val="18"/>
                <w:szCs w:val="18"/>
                <w:lang w:val="sr-Latn-RS"/>
              </w:rPr>
            </w:pPr>
            <w:r>
              <w:rPr>
                <w:sz w:val="18"/>
                <w:szCs w:val="18"/>
                <w:lang w:val="sr-Latn-RS"/>
              </w:rPr>
              <w:t xml:space="preserve">Марк Фишер </w:t>
            </w:r>
            <w:r>
              <w:rPr>
                <w:color w:val="002060"/>
                <w:sz w:val="18"/>
                <w:szCs w:val="18"/>
                <w:u w:color="FF0000"/>
                <w:lang w:val="sr-Latn-RS"/>
              </w:rPr>
              <w:t>·</w:t>
            </w:r>
            <w:r>
              <w:rPr>
                <w:sz w:val="18"/>
                <w:szCs w:val="18"/>
                <w:lang w:val="sr-Latn-RS"/>
              </w:rPr>
              <w:t xml:space="preserve"> „Шта би било да сте организовали протест и да су сви дошли“ + „Капитализам и стварно“ (</w:t>
            </w:r>
            <w:r>
              <w:rPr>
                <w:i/>
                <w:sz w:val="18"/>
                <w:szCs w:val="18"/>
                <w:lang w:val="sr-Latn-RS"/>
              </w:rPr>
              <w:t>Капиталистички реализам: има ли алтернативе</w:t>
            </w:r>
            <w:r>
              <w:rPr>
                <w:sz w:val="18"/>
                <w:szCs w:val="18"/>
                <w:lang w:val="sr-Latn-RS"/>
              </w:rPr>
              <w:t>, Београд: ФМК, 2022, стр. 23–34.)</w:t>
            </w:r>
          </w:p>
          <w:p w:rsidR="00376FBD" w:rsidRDefault="00A25779">
            <w:pPr>
              <w:ind w:left="338" w:hanging="338"/>
              <w:rPr>
                <w:sz w:val="18"/>
                <w:szCs w:val="18"/>
                <w:lang w:val="sr-Latn-RS"/>
              </w:rPr>
            </w:pPr>
            <w:r>
              <w:rPr>
                <w:sz w:val="18"/>
                <w:szCs w:val="18"/>
                <w:lang w:val="sr-Cyrl-RS"/>
              </w:rPr>
              <w:t>Пјер Бурдије</w:t>
            </w:r>
            <w:r>
              <w:rPr>
                <w:sz w:val="18"/>
                <w:szCs w:val="18"/>
                <w:lang w:val="sr-Latn-RS"/>
              </w:rPr>
              <w:t xml:space="preserve"> и </w:t>
            </w:r>
            <w:r>
              <w:rPr>
                <w:sz w:val="18"/>
                <w:szCs w:val="18"/>
                <w:lang w:val="sr-Cyrl-RS"/>
              </w:rPr>
              <w:t>Тери Иглтон</w:t>
            </w:r>
            <w:r>
              <w:rPr>
                <w:sz w:val="18"/>
                <w:szCs w:val="18"/>
                <w:lang w:val="sr-Latn-RS"/>
              </w:rPr>
              <w:t xml:space="preserve"> </w:t>
            </w:r>
            <w:r>
              <w:rPr>
                <w:color w:val="002060"/>
                <w:sz w:val="18"/>
                <w:szCs w:val="18"/>
                <w:u w:color="FF0000"/>
                <w:lang w:val="sr-Latn-RS"/>
              </w:rPr>
              <w:t>·</w:t>
            </w:r>
            <w:r>
              <w:rPr>
                <w:sz w:val="18"/>
                <w:szCs w:val="18"/>
                <w:lang w:val="sr-Latn-RS"/>
              </w:rPr>
              <w:t xml:space="preserve"> „</w:t>
            </w:r>
            <w:r>
              <w:rPr>
                <w:sz w:val="18"/>
                <w:szCs w:val="18"/>
                <w:lang w:val="sr-Cyrl-RS"/>
              </w:rPr>
              <w:t>Д</w:t>
            </w:r>
            <w:r>
              <w:rPr>
                <w:sz w:val="18"/>
                <w:szCs w:val="18"/>
                <w:lang w:val="sr-Latn-RS"/>
              </w:rPr>
              <w:t>о</w:t>
            </w:r>
            <w:r>
              <w:rPr>
                <w:sz w:val="18"/>
                <w:szCs w:val="18"/>
                <w:lang w:val="sr-Cyrl-RS"/>
              </w:rPr>
              <w:t>кса и свакодневни живот“</w:t>
            </w:r>
            <w:r>
              <w:rPr>
                <w:sz w:val="18"/>
                <w:szCs w:val="18"/>
                <w:lang w:val="sr-Latn-RS"/>
              </w:rPr>
              <w:t xml:space="preserve"> (</w:t>
            </w:r>
            <w:r>
              <w:rPr>
                <w:i/>
                <w:sz w:val="18"/>
                <w:szCs w:val="18"/>
                <w:lang w:val="sr-Latn-RS"/>
              </w:rPr>
              <w:t>Годишњак за социологију</w:t>
            </w:r>
            <w:r>
              <w:rPr>
                <w:sz w:val="18"/>
                <w:szCs w:val="18"/>
                <w:lang w:val="sr-Latn-RS"/>
              </w:rPr>
              <w:t xml:space="preserve"> XVI/25, 2020, стр. 105–118.)</w:t>
            </w:r>
          </w:p>
          <w:p w:rsidR="00376FBD" w:rsidRDefault="00A25779">
            <w:pPr>
              <w:ind w:left="338" w:hanging="338"/>
              <w:rPr>
                <w:sz w:val="18"/>
                <w:szCs w:val="18"/>
                <w:lang w:val="sr-Latn-RS"/>
              </w:rPr>
            </w:pPr>
            <w:r>
              <w:rPr>
                <w:sz w:val="18"/>
                <w:szCs w:val="18"/>
                <w:lang w:val="sr-Latn-RS"/>
              </w:rPr>
              <w:lastRenderedPageBreak/>
              <w:t xml:space="preserve">Карл Манхајм </w:t>
            </w:r>
            <w:r>
              <w:rPr>
                <w:color w:val="002060"/>
                <w:sz w:val="18"/>
                <w:szCs w:val="18"/>
                <w:u w:color="FF0000"/>
                <w:lang w:val="sr-Latn-RS"/>
              </w:rPr>
              <w:t>·</w:t>
            </w:r>
            <w:r>
              <w:rPr>
                <w:sz w:val="18"/>
                <w:szCs w:val="18"/>
                <w:lang w:val="sr-Latn-RS"/>
              </w:rPr>
              <w:t xml:space="preserve"> „Приступ проблему“ </w:t>
            </w:r>
            <w:r>
              <w:rPr>
                <w:color w:val="002060"/>
                <w:sz w:val="18"/>
                <w:szCs w:val="18"/>
                <w:lang w:val="sr-Latn-RS"/>
              </w:rPr>
              <w:t>+</w:t>
            </w:r>
            <w:r>
              <w:rPr>
                <w:sz w:val="18"/>
                <w:szCs w:val="18"/>
                <w:lang w:val="sr-Latn-RS"/>
              </w:rPr>
              <w:t xml:space="preserve"> „Идеологија и утопија“ </w:t>
            </w:r>
            <w:r>
              <w:rPr>
                <w:color w:val="002060"/>
                <w:sz w:val="18"/>
                <w:szCs w:val="18"/>
                <w:lang w:val="sr-Latn-RS"/>
              </w:rPr>
              <w:t>(</w:t>
            </w:r>
            <w:r>
              <w:rPr>
                <w:i/>
                <w:sz w:val="18"/>
                <w:szCs w:val="18"/>
                <w:lang w:val="sr-Latn-RS"/>
              </w:rPr>
              <w:t>Идеологија и утопија</w:t>
            </w:r>
            <w:r>
              <w:rPr>
                <w:sz w:val="18"/>
                <w:szCs w:val="18"/>
                <w:lang w:val="sr-Latn-RS"/>
              </w:rPr>
              <w:t xml:space="preserve">, Београд: Нолит, 1968, стр. 3–12, 24–28, 33–34 </w:t>
            </w:r>
            <w:r>
              <w:rPr>
                <w:color w:val="002060"/>
                <w:sz w:val="18"/>
                <w:szCs w:val="18"/>
                <w:lang w:val="sr-Latn-RS"/>
              </w:rPr>
              <w:t>+</w:t>
            </w:r>
            <w:r>
              <w:rPr>
                <w:sz w:val="18"/>
                <w:szCs w:val="18"/>
                <w:lang w:val="sr-Latn-RS"/>
              </w:rPr>
              <w:t xml:space="preserve"> 49–72)</w:t>
            </w:r>
          </w:p>
          <w:p w:rsidR="00376FBD" w:rsidRDefault="00A25779">
            <w:pPr>
              <w:tabs>
                <w:tab w:val="left" w:pos="8232"/>
              </w:tabs>
              <w:ind w:left="338" w:hanging="338"/>
              <w:rPr>
                <w:sz w:val="18"/>
                <w:szCs w:val="18"/>
                <w:lang w:val="sr-Latn-RS"/>
              </w:rPr>
            </w:pPr>
            <w:r>
              <w:rPr>
                <w:sz w:val="18"/>
                <w:szCs w:val="18"/>
                <w:lang w:val="sr-Latn-RS"/>
              </w:rPr>
              <w:t xml:space="preserve">Питер Бергер </w:t>
            </w:r>
            <w:r>
              <w:rPr>
                <w:color w:val="002060"/>
                <w:sz w:val="18"/>
                <w:szCs w:val="18"/>
                <w:u w:color="FF0000"/>
                <w:lang w:val="sr-Latn-RS"/>
              </w:rPr>
              <w:t>·</w:t>
            </w:r>
            <w:r>
              <w:rPr>
                <w:sz w:val="18"/>
                <w:szCs w:val="18"/>
                <w:lang w:val="sr-Latn-RS"/>
              </w:rPr>
              <w:t xml:space="preserve"> „Религија и изградња света“ (Peter L. Berger “Religion and World-Construction”; </w:t>
            </w:r>
            <w:r>
              <w:rPr>
                <w:i/>
                <w:sz w:val="18"/>
                <w:szCs w:val="18"/>
                <w:lang w:val="sr-Latn-RS"/>
              </w:rPr>
              <w:t>The Sacred Canopy: Elements of a Sociological Theory of Religion</w:t>
            </w:r>
            <w:r>
              <w:rPr>
                <w:sz w:val="18"/>
                <w:szCs w:val="18"/>
                <w:lang w:val="sr-Latn-RS"/>
              </w:rPr>
              <w:t>, Garden City, N.Y.: Anchor Books, 1967, pp. 3–28.)</w:t>
            </w:r>
          </w:p>
          <w:p w:rsidR="00376FBD" w:rsidRDefault="00A25779">
            <w:pPr>
              <w:tabs>
                <w:tab w:val="left" w:pos="8232"/>
              </w:tabs>
              <w:ind w:left="338" w:hanging="338"/>
              <w:rPr>
                <w:sz w:val="18"/>
                <w:szCs w:val="18"/>
                <w:lang w:val="sr-Latn-RS"/>
              </w:rPr>
            </w:pPr>
            <w:r>
              <w:rPr>
                <w:sz w:val="18"/>
                <w:szCs w:val="18"/>
                <w:lang w:val="sr-Latn-RS"/>
              </w:rPr>
              <w:t xml:space="preserve">Питер Бергер и Томас Лукман </w:t>
            </w:r>
            <w:r>
              <w:rPr>
                <w:color w:val="002060"/>
                <w:sz w:val="18"/>
                <w:szCs w:val="18"/>
                <w:u w:color="FF0000"/>
                <w:lang w:val="sr-Latn-RS"/>
              </w:rPr>
              <w:t>·</w:t>
            </w:r>
            <w:r>
              <w:rPr>
                <w:sz w:val="18"/>
                <w:szCs w:val="18"/>
                <w:lang w:val="sr-Latn-RS"/>
              </w:rPr>
              <w:t xml:space="preserve"> „Легитимација“ + „Друштво као субјективна стварност“ (</w:t>
            </w:r>
            <w:r>
              <w:rPr>
                <w:i/>
                <w:sz w:val="18"/>
                <w:szCs w:val="18"/>
                <w:lang w:val="sr-Latn-RS"/>
              </w:rPr>
              <w:t>Социјална конструкција збиље</w:t>
            </w:r>
            <w:r>
              <w:rPr>
                <w:sz w:val="18"/>
                <w:szCs w:val="18"/>
                <w:lang w:val="sr-Latn-RS"/>
              </w:rPr>
              <w:t xml:space="preserve">, Загреб: Напријед, 1992 стр. 115–152. + 155–200.) </w:t>
            </w:r>
          </w:p>
          <w:p w:rsidR="00376FBD" w:rsidRDefault="00A25779">
            <w:pPr>
              <w:ind w:left="338" w:hanging="338"/>
              <w:rPr>
                <w:sz w:val="18"/>
                <w:szCs w:val="18"/>
                <w:lang w:val="sr-Latn-RS"/>
              </w:rPr>
            </w:pPr>
            <w:r>
              <w:rPr>
                <w:sz w:val="18"/>
                <w:szCs w:val="18"/>
                <w:lang w:val="sr-Latn-RS"/>
              </w:rPr>
              <w:t xml:space="preserve">Питер Бергер и Хансфрид Келнер </w:t>
            </w:r>
            <w:r>
              <w:rPr>
                <w:color w:val="002060"/>
                <w:sz w:val="18"/>
                <w:szCs w:val="18"/>
                <w:u w:color="FF0000"/>
                <w:lang w:val="sr-Latn-RS"/>
              </w:rPr>
              <w:t>·</w:t>
            </w:r>
            <w:r>
              <w:rPr>
                <w:sz w:val="18"/>
                <w:szCs w:val="18"/>
                <w:lang w:val="sr-Latn-RS"/>
              </w:rPr>
              <w:t xml:space="preserve"> „</w:t>
            </w:r>
            <w:r>
              <w:rPr>
                <w:sz w:val="18"/>
                <w:szCs w:val="18"/>
                <w:lang w:val="sr-Cyrl-RS"/>
              </w:rPr>
              <w:t>Брак и конструкција стварности</w:t>
            </w:r>
            <w:r>
              <w:rPr>
                <w:sz w:val="18"/>
                <w:szCs w:val="18"/>
              </w:rPr>
              <w:t xml:space="preserve">: </w:t>
            </w:r>
            <w:r>
              <w:rPr>
                <w:sz w:val="18"/>
                <w:szCs w:val="18"/>
                <w:lang w:val="sr-Cyrl-RS"/>
              </w:rPr>
              <w:t>један оглед из микросоциологије (са)знања“</w:t>
            </w:r>
            <w:r>
              <w:rPr>
                <w:sz w:val="18"/>
                <w:szCs w:val="18"/>
                <w:lang w:val="sr-Latn-RS"/>
              </w:rPr>
              <w:t xml:space="preserve"> (</w:t>
            </w:r>
            <w:r>
              <w:rPr>
                <w:i/>
                <w:sz w:val="18"/>
                <w:szCs w:val="18"/>
                <w:lang w:val="sr-Latn-RS"/>
              </w:rPr>
              <w:t>Годишњак за социологију</w:t>
            </w:r>
            <w:r>
              <w:rPr>
                <w:sz w:val="18"/>
                <w:szCs w:val="18"/>
                <w:lang w:val="sr-Latn-RS"/>
              </w:rPr>
              <w:t xml:space="preserve"> XXI/35, 2025, стр. 91–106.)</w:t>
            </w:r>
          </w:p>
          <w:p w:rsidR="00376FBD" w:rsidRDefault="00A25779">
            <w:pPr>
              <w:ind w:left="338" w:hanging="338"/>
              <w:rPr>
                <w:sz w:val="18"/>
                <w:szCs w:val="18"/>
                <w:lang w:val="sr-Latn-RS"/>
              </w:rPr>
            </w:pPr>
            <w:r>
              <w:rPr>
                <w:sz w:val="18"/>
                <w:szCs w:val="18"/>
                <w:lang w:val="sr-Cyrl-RS"/>
              </w:rPr>
              <w:t>Хуберт Кноблаух</w:t>
            </w:r>
            <w:r>
              <w:rPr>
                <w:sz w:val="18"/>
                <w:szCs w:val="18"/>
                <w:lang w:val="sr-Latn-RS"/>
              </w:rPr>
              <w:t xml:space="preserve"> </w:t>
            </w:r>
            <w:r>
              <w:rPr>
                <w:color w:val="002060"/>
                <w:sz w:val="18"/>
                <w:szCs w:val="18"/>
                <w:u w:color="FF0000"/>
                <w:lang w:val="sr-Latn-RS"/>
              </w:rPr>
              <w:t>·</w:t>
            </w:r>
            <w:r>
              <w:rPr>
                <w:sz w:val="18"/>
                <w:szCs w:val="18"/>
                <w:lang w:val="sr-Latn-RS"/>
              </w:rPr>
              <w:t xml:space="preserve"> „</w:t>
            </w:r>
            <w:r>
              <w:rPr>
                <w:sz w:val="18"/>
                <w:szCs w:val="18"/>
                <w:lang w:val="sr-Cyrl-RS"/>
              </w:rPr>
              <w:t>О</w:t>
            </w:r>
            <w:r>
              <w:rPr>
                <w:sz w:val="18"/>
                <w:szCs w:val="18"/>
              </w:rPr>
              <w:t>д дру</w:t>
            </w:r>
            <w:r>
              <w:rPr>
                <w:sz w:val="18"/>
                <w:szCs w:val="18"/>
                <w:lang w:val="sr-Latn-RS"/>
              </w:rPr>
              <w:t>штвене до комуникативне конструкције знања</w:t>
            </w:r>
            <w:r>
              <w:rPr>
                <w:sz w:val="18"/>
                <w:szCs w:val="18"/>
                <w:lang w:val="sr-Cyrl-RS"/>
              </w:rPr>
              <w:t>“</w:t>
            </w:r>
            <w:r>
              <w:rPr>
                <w:sz w:val="18"/>
                <w:szCs w:val="18"/>
                <w:lang w:val="sr-Latn-RS"/>
              </w:rPr>
              <w:t xml:space="preserve"> (Hubert Knoblauch “From the social to the communicative construction of knowledge“; </w:t>
            </w:r>
            <w:r>
              <w:rPr>
                <w:sz w:val="18"/>
                <w:szCs w:val="18"/>
              </w:rPr>
              <w:t xml:space="preserve">Fran Collyer (ed.) </w:t>
            </w:r>
            <w:r>
              <w:rPr>
                <w:rFonts w:hint="eastAsia"/>
                <w:i/>
                <w:sz w:val="18"/>
                <w:szCs w:val="18"/>
              </w:rPr>
              <w:t>Research Handbook on the Sociology of Knowledge</w:t>
            </w:r>
            <w:r>
              <w:rPr>
                <w:sz w:val="18"/>
                <w:szCs w:val="18"/>
                <w:lang w:val="sr-Latn-RS"/>
              </w:rPr>
              <w:t xml:space="preserve">, </w:t>
            </w:r>
            <w:r>
              <w:rPr>
                <w:rFonts w:hint="eastAsia"/>
                <w:sz w:val="18"/>
                <w:szCs w:val="18"/>
              </w:rPr>
              <w:t>Cheltenham</w:t>
            </w:r>
            <w:r>
              <w:rPr>
                <w:sz w:val="18"/>
                <w:szCs w:val="18"/>
              </w:rPr>
              <w:t xml:space="preserve">: </w:t>
            </w:r>
            <w:r>
              <w:rPr>
                <w:rFonts w:hint="eastAsia"/>
                <w:sz w:val="18"/>
                <w:szCs w:val="18"/>
              </w:rPr>
              <w:t>Edward Elgar Publishing, 2025, pp</w:t>
            </w:r>
            <w:r>
              <w:rPr>
                <w:sz w:val="18"/>
                <w:szCs w:val="18"/>
                <w:lang w:val="sr-Cyrl-RS"/>
              </w:rPr>
              <w:t>.</w:t>
            </w:r>
            <w:r>
              <w:rPr>
                <w:rFonts w:hint="eastAsia"/>
                <w:sz w:val="18"/>
                <w:szCs w:val="18"/>
              </w:rPr>
              <w:t xml:space="preserve"> 175</w:t>
            </w:r>
            <w:r>
              <w:rPr>
                <w:sz w:val="18"/>
                <w:szCs w:val="18"/>
              </w:rPr>
              <w:t>–</w:t>
            </w:r>
            <w:r>
              <w:rPr>
                <w:rFonts w:hint="eastAsia"/>
                <w:sz w:val="18"/>
                <w:szCs w:val="18"/>
              </w:rPr>
              <w:t>191.</w:t>
            </w:r>
            <w:r>
              <w:rPr>
                <w:sz w:val="18"/>
                <w:szCs w:val="18"/>
                <w:lang w:val="sr-Latn-RS"/>
              </w:rPr>
              <w:t>)</w:t>
            </w:r>
          </w:p>
          <w:p w:rsidR="00376FBD" w:rsidRDefault="00A25779">
            <w:pPr>
              <w:ind w:left="338" w:hanging="338"/>
              <w:rPr>
                <w:sz w:val="18"/>
                <w:szCs w:val="18"/>
                <w:lang w:val="sr-Latn-RS"/>
              </w:rPr>
            </w:pPr>
            <w:r>
              <w:rPr>
                <w:sz w:val="18"/>
                <w:szCs w:val="18"/>
                <w:lang w:val="sr-Cyrl-RS"/>
              </w:rPr>
              <w:t>Хуберт Кноблаух</w:t>
            </w:r>
            <w:r>
              <w:rPr>
                <w:sz w:val="18"/>
                <w:szCs w:val="18"/>
                <w:lang w:val="sr-Latn-RS"/>
              </w:rPr>
              <w:t xml:space="preserve"> </w:t>
            </w:r>
            <w:r>
              <w:rPr>
                <w:color w:val="002060"/>
                <w:sz w:val="18"/>
                <w:szCs w:val="18"/>
                <w:u w:color="FF0000"/>
                <w:lang w:val="sr-Latn-RS"/>
              </w:rPr>
              <w:t>·</w:t>
            </w:r>
            <w:r>
              <w:rPr>
                <w:sz w:val="18"/>
                <w:szCs w:val="18"/>
                <w:lang w:val="sr-Latn-RS"/>
              </w:rPr>
              <w:t xml:space="preserve"> „</w:t>
            </w:r>
            <w:r>
              <w:rPr>
                <w:sz w:val="18"/>
                <w:szCs w:val="18"/>
                <w:lang w:val="sr-Cyrl-RS"/>
              </w:rPr>
              <w:t>Основни појмови и задаци комуникативног конструктивизма“</w:t>
            </w:r>
            <w:r>
              <w:rPr>
                <w:sz w:val="18"/>
                <w:szCs w:val="18"/>
                <w:lang w:val="sr-Latn-RS"/>
              </w:rPr>
              <w:t xml:space="preserve"> (Hubert Knoblauch „Grundbegriffe und Aufgaben des kommunikativen Konstruktivismus“; Reiner Keller, Hubert Knoblauch, Jo Reichertz (Hrsg.) </w:t>
            </w:r>
            <w:r>
              <w:rPr>
                <w:i/>
                <w:sz w:val="18"/>
                <w:szCs w:val="18"/>
                <w:lang w:val="sr-Latn-RS"/>
              </w:rPr>
              <w:t>Kommunikativer Konstruktivismus. Theoretische und empirische Arbeiten zu einem neuen wissenssoziologischen Ansatz</w:t>
            </w:r>
            <w:r>
              <w:rPr>
                <w:sz w:val="18"/>
                <w:szCs w:val="18"/>
                <w:lang w:val="sr-Latn-RS"/>
              </w:rPr>
              <w:t xml:space="preserve">, Wiesbaden: VS, </w:t>
            </w:r>
            <w:r>
              <w:rPr>
                <w:sz w:val="18"/>
                <w:szCs w:val="18"/>
                <w:lang w:val="sr-Cyrl-RS"/>
              </w:rPr>
              <w:t xml:space="preserve">2013, </w:t>
            </w:r>
            <w:r>
              <w:rPr>
                <w:sz w:val="18"/>
                <w:szCs w:val="18"/>
              </w:rPr>
              <w:t xml:space="preserve">pp. </w:t>
            </w:r>
            <w:r>
              <w:rPr>
                <w:sz w:val="18"/>
                <w:szCs w:val="18"/>
                <w:lang w:val="sr-Latn-RS"/>
              </w:rPr>
              <w:t>25–48)</w:t>
            </w:r>
          </w:p>
          <w:p w:rsidR="00376FBD" w:rsidRDefault="00A25779">
            <w:pPr>
              <w:ind w:left="338" w:hanging="338"/>
              <w:rPr>
                <w:sz w:val="18"/>
                <w:szCs w:val="18"/>
                <w:lang w:val="sr-Latn-RS"/>
              </w:rPr>
            </w:pPr>
            <w:r>
              <w:rPr>
                <w:sz w:val="18"/>
                <w:szCs w:val="18"/>
                <w:lang w:val="sr-Latn-RS"/>
              </w:rPr>
              <w:t xml:space="preserve">Роналд Курт и Регине Хербрик </w:t>
            </w:r>
            <w:r>
              <w:rPr>
                <w:color w:val="002060"/>
                <w:sz w:val="18"/>
                <w:szCs w:val="18"/>
                <w:u w:color="FF0000"/>
                <w:lang w:val="sr-Latn-RS"/>
              </w:rPr>
              <w:t>·</w:t>
            </w:r>
            <w:r>
              <w:rPr>
                <w:sz w:val="18"/>
                <w:szCs w:val="18"/>
                <w:lang w:val="sr-Latn-RS"/>
              </w:rPr>
              <w:t xml:space="preserve"> „</w:t>
            </w:r>
            <w:r>
              <w:rPr>
                <w:sz w:val="18"/>
                <w:szCs w:val="18"/>
                <w:lang w:val="sr-Cyrl-RS"/>
              </w:rPr>
              <w:t>С</w:t>
            </w:r>
            <w:r>
              <w:rPr>
                <w:sz w:val="18"/>
                <w:szCs w:val="18"/>
                <w:lang w:val="sr-Latn-RS"/>
              </w:rPr>
              <w:t>оциолошка херменеутика и херменеутичка социологија знањ</w:t>
            </w:r>
            <w:r>
              <w:rPr>
                <w:sz w:val="18"/>
                <w:szCs w:val="18"/>
                <w:lang w:val="sr-Cyrl-RS"/>
              </w:rPr>
              <w:t>а“</w:t>
            </w:r>
            <w:r>
              <w:rPr>
                <w:sz w:val="18"/>
                <w:szCs w:val="18"/>
                <w:lang w:val="sr-Latn-RS"/>
              </w:rPr>
              <w:t xml:space="preserve"> (Ronald Kurt und Regine Herbrik „Sozialwissenschaftliche Hermeneutik und hermeneutische Wissenssoziologie“; Nina Baur &amp; Jörg Blasius (Hrsg.) </w:t>
            </w:r>
            <w:r>
              <w:rPr>
                <w:i/>
                <w:sz w:val="18"/>
                <w:szCs w:val="18"/>
                <w:lang w:val="sr-Latn-RS"/>
              </w:rPr>
              <w:t>Handbuch Methoden der empirischen Sozialforschung,</w:t>
            </w:r>
            <w:r>
              <w:rPr>
                <w:sz w:val="18"/>
                <w:szCs w:val="18"/>
                <w:lang w:val="sr-Latn-RS"/>
              </w:rPr>
              <w:t xml:space="preserve"> Wiesbaden: Springer VS</w:t>
            </w:r>
            <w:r>
              <w:rPr>
                <w:sz w:val="18"/>
                <w:szCs w:val="18"/>
                <w:lang w:val="sr-Cyrl-RS"/>
              </w:rPr>
              <w:t xml:space="preserve">, 2014, </w:t>
            </w:r>
            <w:r>
              <w:rPr>
                <w:sz w:val="18"/>
                <w:szCs w:val="18"/>
                <w:lang w:val="de-DE"/>
              </w:rPr>
              <w:t xml:space="preserve">pp. </w:t>
            </w:r>
            <w:r>
              <w:rPr>
                <w:sz w:val="18"/>
                <w:szCs w:val="18"/>
                <w:lang w:val="sr-Cyrl-RS"/>
              </w:rPr>
              <w:t>473–491</w:t>
            </w:r>
            <w:r>
              <w:rPr>
                <w:sz w:val="18"/>
                <w:szCs w:val="18"/>
                <w:lang w:val="sr-Latn-RS"/>
              </w:rPr>
              <w:t>)</w:t>
            </w:r>
          </w:p>
          <w:p w:rsidR="00376FBD" w:rsidRDefault="00A25779">
            <w:pPr>
              <w:ind w:left="338" w:hanging="338"/>
              <w:rPr>
                <w:sz w:val="18"/>
                <w:szCs w:val="18"/>
                <w:lang w:val="sr-Latn-RS"/>
              </w:rPr>
            </w:pPr>
            <w:r>
              <w:rPr>
                <w:sz w:val="18"/>
                <w:szCs w:val="18"/>
                <w:lang w:val="sr-Latn-RS"/>
              </w:rPr>
              <w:t xml:space="preserve">Рајнер Келер </w:t>
            </w:r>
            <w:r>
              <w:rPr>
                <w:color w:val="002060"/>
                <w:sz w:val="18"/>
                <w:szCs w:val="18"/>
                <w:u w:color="FF0000"/>
                <w:lang w:val="sr-Latn-RS"/>
              </w:rPr>
              <w:t>·</w:t>
            </w:r>
            <w:r>
              <w:rPr>
                <w:sz w:val="18"/>
                <w:szCs w:val="18"/>
                <w:lang w:val="sr-Latn-RS"/>
              </w:rPr>
              <w:t xml:space="preserve"> „</w:t>
            </w:r>
            <w:r>
              <w:rPr>
                <w:sz w:val="18"/>
                <w:szCs w:val="18"/>
              </w:rPr>
              <w:t>Анализа дискурса из угла социологије сазнања. Једна нова перспектива за квалитативне методе</w:t>
            </w:r>
            <w:r>
              <w:rPr>
                <w:sz w:val="18"/>
                <w:szCs w:val="18"/>
                <w:lang w:val="sr-Cyrl-RS"/>
              </w:rPr>
              <w:t>“</w:t>
            </w:r>
            <w:r>
              <w:rPr>
                <w:sz w:val="18"/>
                <w:szCs w:val="18"/>
                <w:lang w:val="sr-Latn-RS"/>
              </w:rPr>
              <w:t xml:space="preserve"> (</w:t>
            </w:r>
            <w:r>
              <w:rPr>
                <w:i/>
                <w:sz w:val="18"/>
                <w:szCs w:val="18"/>
                <w:lang w:val="sr-Latn-RS"/>
              </w:rPr>
              <w:t>Критика</w:t>
            </w:r>
            <w:r>
              <w:rPr>
                <w:sz w:val="18"/>
                <w:szCs w:val="18"/>
                <w:lang w:val="sr-Latn-RS"/>
              </w:rPr>
              <w:t xml:space="preserve"> II/2, 2021, стр. 401–418.).</w:t>
            </w:r>
          </w:p>
          <w:p w:rsidR="00376FBD" w:rsidRDefault="00A25779">
            <w:pPr>
              <w:ind w:left="338" w:hanging="338"/>
              <w:rPr>
                <w:sz w:val="18"/>
                <w:szCs w:val="18"/>
                <w:lang w:val="sr-Latn-RS"/>
              </w:rPr>
            </w:pPr>
            <w:r>
              <w:rPr>
                <w:sz w:val="18"/>
                <w:szCs w:val="18"/>
                <w:lang w:val="sr-Latn-RS"/>
              </w:rPr>
              <w:t xml:space="preserve">Теун ван Дијк </w:t>
            </w:r>
            <w:r>
              <w:rPr>
                <w:color w:val="002060"/>
                <w:sz w:val="18"/>
                <w:szCs w:val="18"/>
                <w:u w:color="FF0000"/>
                <w:lang w:val="sr-Latn-RS"/>
              </w:rPr>
              <w:t>·</w:t>
            </w:r>
            <w:r>
              <w:rPr>
                <w:sz w:val="18"/>
                <w:szCs w:val="18"/>
                <w:lang w:val="sr-Latn-RS"/>
              </w:rPr>
              <w:t xml:space="preserve"> „Увод“ (</w:t>
            </w:r>
            <w:r>
              <w:rPr>
                <w:i/>
                <w:sz w:val="18"/>
                <w:szCs w:val="18"/>
                <w:lang w:val="sr-Latn-RS"/>
              </w:rPr>
              <w:t>Идеологија: мултидисциплинарни приступ</w:t>
            </w:r>
            <w:r>
              <w:rPr>
                <w:sz w:val="18"/>
                <w:szCs w:val="18"/>
                <w:lang w:val="sr-Latn-RS"/>
              </w:rPr>
              <w:t>, Загреб: Голден маркетинг, 2006, стр. 11–25.)</w:t>
            </w:r>
          </w:p>
          <w:p w:rsidR="00376FBD" w:rsidRDefault="00A25779">
            <w:pPr>
              <w:ind w:left="338" w:hanging="338"/>
              <w:rPr>
                <w:sz w:val="18"/>
                <w:szCs w:val="18"/>
                <w:lang w:val="sr-Latn-RS"/>
              </w:rPr>
            </w:pPr>
            <w:r>
              <w:rPr>
                <w:sz w:val="18"/>
                <w:szCs w:val="18"/>
                <w:lang w:val="sr-Latn-RS"/>
              </w:rPr>
              <w:t xml:space="preserve">Вивијен Бер </w:t>
            </w:r>
            <w:r>
              <w:rPr>
                <w:color w:val="002060"/>
                <w:sz w:val="18"/>
                <w:szCs w:val="18"/>
                <w:u w:color="FF0000"/>
                <w:lang w:val="sr-Latn-RS"/>
              </w:rPr>
              <w:t>·</w:t>
            </w:r>
            <w:r>
              <w:rPr>
                <w:sz w:val="18"/>
                <w:szCs w:val="18"/>
                <w:lang w:val="sr-Latn-RS"/>
              </w:rPr>
              <w:t xml:space="preserve"> „Постоји ли стваран свет изван дискурса?“</w:t>
            </w:r>
            <w:r>
              <w:rPr>
                <w:i/>
                <w:sz w:val="18"/>
                <w:szCs w:val="18"/>
                <w:lang w:val="sr-Latn-RS"/>
              </w:rPr>
              <w:t xml:space="preserve"> </w:t>
            </w:r>
            <w:r>
              <w:rPr>
                <w:sz w:val="18"/>
                <w:szCs w:val="18"/>
                <w:lang w:val="sr-Latn-RS"/>
              </w:rPr>
              <w:t>(</w:t>
            </w:r>
            <w:r>
              <w:rPr>
                <w:i/>
                <w:sz w:val="18"/>
                <w:szCs w:val="18"/>
                <w:lang w:val="sr-Latn-RS"/>
              </w:rPr>
              <w:t>Увод у социјални конструкционизам</w:t>
            </w:r>
            <w:r>
              <w:rPr>
                <w:sz w:val="18"/>
                <w:szCs w:val="18"/>
                <w:lang w:val="sr-Latn-RS"/>
              </w:rPr>
              <w:t>, Београд: Zepter Book World, 2001, стр. 117–134.)</w:t>
            </w:r>
          </w:p>
          <w:p w:rsidR="00376FBD" w:rsidRDefault="00A25779">
            <w:pPr>
              <w:spacing w:after="60"/>
              <w:ind w:left="340" w:hanging="340"/>
              <w:rPr>
                <w:sz w:val="18"/>
                <w:szCs w:val="18"/>
                <w:lang w:val="sr-Cyrl-RS"/>
              </w:rPr>
            </w:pPr>
            <w:r>
              <w:rPr>
                <w:sz w:val="18"/>
                <w:szCs w:val="18"/>
                <w:lang w:val="sr-Latn-RS"/>
              </w:rPr>
              <w:t xml:space="preserve">Иван Ковач </w:t>
            </w:r>
            <w:r>
              <w:rPr>
                <w:color w:val="002060"/>
                <w:sz w:val="18"/>
                <w:szCs w:val="18"/>
                <w:u w:color="FF0000"/>
                <w:lang w:val="sr-Latn-RS"/>
              </w:rPr>
              <w:t>·</w:t>
            </w:r>
            <w:r>
              <w:rPr>
                <w:sz w:val="18"/>
                <w:szCs w:val="18"/>
                <w:lang w:val="sr-Latn-RS"/>
              </w:rPr>
              <w:t xml:space="preserve"> </w:t>
            </w:r>
            <w:r>
              <w:rPr>
                <w:i/>
                <w:sz w:val="18"/>
                <w:szCs w:val="18"/>
                <w:lang w:val="sr-Latn-RS"/>
              </w:rPr>
              <w:t>Како изаћи на крај са теоретичарима завере</w:t>
            </w:r>
            <w:r>
              <w:rPr>
                <w:sz w:val="18"/>
                <w:szCs w:val="18"/>
                <w:lang w:val="sr-Latn-RS"/>
              </w:rPr>
              <w:t xml:space="preserve"> (Бечеј; Београд: Хелсиншки одбор за људска права, 2023, str. 5–44.)</w:t>
            </w:r>
          </w:p>
          <w:p w:rsidR="00376FBD" w:rsidRDefault="00A25779">
            <w:pPr>
              <w:spacing w:after="60"/>
              <w:ind w:left="340" w:hanging="340"/>
              <w:rPr>
                <w:sz w:val="18"/>
                <w:szCs w:val="18"/>
                <w:lang w:val="sr-Cyrl-RS"/>
              </w:rPr>
            </w:pPr>
            <w:r>
              <w:rPr>
                <w:lang w:val="sr-Latn-RS" w:eastAsia="sr-Latn-RS"/>
              </w:rPr>
              <w:t>—————————————————————————————————————————————————</w:t>
            </w:r>
          </w:p>
          <w:p w:rsidR="00376FBD" w:rsidRDefault="00A25779">
            <w:pPr>
              <w:spacing w:after="60"/>
              <w:ind w:left="340" w:hanging="340"/>
              <w:rPr>
                <w:b/>
                <w:sz w:val="18"/>
                <w:szCs w:val="18"/>
                <w:lang w:val="sr-Cyrl-RS"/>
              </w:rPr>
            </w:pPr>
            <w:r>
              <w:rPr>
                <w:b/>
                <w:sz w:val="18"/>
                <w:szCs w:val="18"/>
                <w:lang w:val="sr-Cyrl-RS"/>
              </w:rPr>
              <w:t>Додатна (необавезна) литература:</w:t>
            </w:r>
          </w:p>
          <w:p w:rsidR="00376FBD" w:rsidRDefault="00D93599">
            <w:pPr>
              <w:ind w:left="284" w:hanging="284"/>
              <w:rPr>
                <w:b/>
                <w:i/>
                <w:sz w:val="16"/>
                <w:szCs w:val="16"/>
                <w:lang w:val="sr-Cyrl-RS"/>
              </w:rPr>
            </w:pPr>
            <w:hyperlink r:id="rId9" w:history="1">
              <w:r w:rsidR="00A25779">
                <w:rPr>
                  <w:rStyle w:val="Hyperlink"/>
                  <w:i/>
                  <w:sz w:val="16"/>
                  <w:szCs w:val="16"/>
                  <w:lang w:val="sr-Cyrl-RS"/>
                </w:rPr>
                <w:t>Гласник Етнографског института САНУ</w:t>
              </w:r>
              <w:r w:rsidR="00A25779">
                <w:rPr>
                  <w:rStyle w:val="Hyperlink"/>
                  <w:sz w:val="16"/>
                  <w:szCs w:val="16"/>
                  <w:lang w:val="sr-Cyrl-RS"/>
                </w:rPr>
                <w:t xml:space="preserve"> 67 (1) (2019) – </w:t>
              </w:r>
              <w:r w:rsidR="00A25779">
                <w:rPr>
                  <w:rStyle w:val="Hyperlink"/>
                  <w:b/>
                  <w:i/>
                  <w:sz w:val="16"/>
                  <w:szCs w:val="16"/>
                  <w:lang w:val="sr-Cyrl-RS"/>
                </w:rPr>
                <w:t>Теоријско наслеђе Питера Бергера и Томаса Лукмана</w:t>
              </w:r>
            </w:hyperlink>
          </w:p>
          <w:p w:rsidR="00376FBD" w:rsidRDefault="00D93599">
            <w:pPr>
              <w:ind w:left="284" w:hanging="284"/>
              <w:rPr>
                <w:b/>
                <w:i/>
                <w:sz w:val="16"/>
                <w:szCs w:val="16"/>
                <w:lang w:val="sr-Cyrl-RS"/>
              </w:rPr>
            </w:pPr>
            <w:hyperlink r:id="rId10" w:history="1">
              <w:r w:rsidR="00A25779">
                <w:rPr>
                  <w:rStyle w:val="Hyperlink"/>
                  <w:i/>
                  <w:sz w:val="16"/>
                  <w:szCs w:val="16"/>
                </w:rPr>
                <w:t>Cultural</w:t>
              </w:r>
              <w:r w:rsidR="00A25779">
                <w:rPr>
                  <w:rStyle w:val="Hyperlink"/>
                  <w:i/>
                  <w:sz w:val="16"/>
                  <w:szCs w:val="16"/>
                  <w:lang w:val="sr-Cyrl-RS"/>
                </w:rPr>
                <w:t xml:space="preserve"> </w:t>
              </w:r>
              <w:r w:rsidR="00A25779">
                <w:rPr>
                  <w:rStyle w:val="Hyperlink"/>
                  <w:i/>
                  <w:sz w:val="16"/>
                  <w:szCs w:val="16"/>
                </w:rPr>
                <w:t>Sociology</w:t>
              </w:r>
              <w:r w:rsidR="00A25779">
                <w:rPr>
                  <w:rStyle w:val="Hyperlink"/>
                  <w:sz w:val="16"/>
                  <w:szCs w:val="16"/>
                  <w:lang w:val="sr-Cyrl-RS"/>
                </w:rPr>
                <w:t xml:space="preserve"> 10 (1) (2016) – </w:t>
              </w:r>
              <w:r w:rsidR="00A25779">
                <w:rPr>
                  <w:rStyle w:val="Hyperlink"/>
                  <w:b/>
                  <w:i/>
                  <w:sz w:val="16"/>
                  <w:szCs w:val="16"/>
                  <w:lang w:val="sr-Cyrl-RS"/>
                </w:rPr>
                <w:t>Special Issue: Berger and Luckmann’s ‘The Social Construction of Reality’ at 50</w:t>
              </w:r>
            </w:hyperlink>
          </w:p>
          <w:p w:rsidR="00376FBD" w:rsidRDefault="00D93599">
            <w:pPr>
              <w:ind w:left="284" w:hanging="284"/>
              <w:rPr>
                <w:b/>
                <w:i/>
                <w:sz w:val="16"/>
                <w:szCs w:val="16"/>
              </w:rPr>
            </w:pPr>
            <w:hyperlink r:id="rId11" w:history="1">
              <w:r w:rsidR="00A25779">
                <w:rPr>
                  <w:rStyle w:val="Hyperlink"/>
                  <w:i/>
                  <w:sz w:val="16"/>
                  <w:szCs w:val="16"/>
                </w:rPr>
                <w:t>Human Studies</w:t>
              </w:r>
              <w:r w:rsidR="00A25779">
                <w:rPr>
                  <w:rStyle w:val="Hyperlink"/>
                  <w:sz w:val="16"/>
                  <w:szCs w:val="16"/>
                  <w:lang w:val="sr-Cyrl-RS"/>
                </w:rPr>
                <w:t xml:space="preserve"> </w:t>
              </w:r>
              <w:r w:rsidR="00A25779">
                <w:rPr>
                  <w:rStyle w:val="Hyperlink"/>
                  <w:sz w:val="16"/>
                  <w:szCs w:val="16"/>
                </w:rPr>
                <w:t>39</w:t>
              </w:r>
              <w:r w:rsidR="00A25779">
                <w:rPr>
                  <w:rStyle w:val="Hyperlink"/>
                  <w:sz w:val="16"/>
                  <w:szCs w:val="16"/>
                  <w:lang w:val="sr-Cyrl-RS"/>
                </w:rPr>
                <w:t xml:space="preserve"> (1) (2016) – </w:t>
              </w:r>
              <w:r w:rsidR="00A25779">
                <w:rPr>
                  <w:rStyle w:val="Hyperlink"/>
                  <w:b/>
                  <w:i/>
                  <w:sz w:val="16"/>
                  <w:szCs w:val="16"/>
                  <w:lang w:val="sr-Cyrl-RS"/>
                </w:rPr>
                <w:t>Special issue on The Social Construction of Reality</w:t>
              </w:r>
            </w:hyperlink>
          </w:p>
          <w:p w:rsidR="00376FBD" w:rsidRDefault="00A25779">
            <w:pPr>
              <w:ind w:left="284" w:hanging="284"/>
              <w:rPr>
                <w:sz w:val="16"/>
                <w:szCs w:val="16"/>
                <w:lang w:val="sr-Cyrl-RS"/>
              </w:rPr>
            </w:pPr>
            <w:r>
              <w:rPr>
                <w:sz w:val="16"/>
                <w:szCs w:val="16"/>
              </w:rPr>
              <w:t>Томас Лукман</w:t>
            </w:r>
            <w:r>
              <w:rPr>
                <w:sz w:val="16"/>
                <w:szCs w:val="16"/>
                <w:lang w:val="sr-Cyrl-RS"/>
              </w:rPr>
              <w:t xml:space="preserve"> </w:t>
            </w:r>
            <w:r>
              <w:rPr>
                <w:b/>
                <w:color w:val="002060"/>
                <w:sz w:val="16"/>
                <w:szCs w:val="16"/>
                <w:u w:color="FF0000"/>
                <w:lang w:val="sr-Latn-RS"/>
              </w:rPr>
              <w:t>·</w:t>
            </w:r>
            <w:r>
              <w:rPr>
                <w:sz w:val="16"/>
                <w:szCs w:val="16"/>
                <w:lang w:val="sr-Latn-RS"/>
              </w:rPr>
              <w:t xml:space="preserve"> „</w:t>
            </w:r>
            <w:hyperlink r:id="rId12" w:history="1">
              <w:r>
                <w:rPr>
                  <w:rStyle w:val="Hyperlink"/>
                  <w:b/>
                  <w:sz w:val="16"/>
                  <w:szCs w:val="16"/>
                  <w:lang w:val="sr-Latn-RS"/>
                </w:rPr>
                <w:t xml:space="preserve">Комуникативна парадигма у </w:t>
              </w:r>
              <w:r>
                <w:rPr>
                  <w:rStyle w:val="Hyperlink"/>
                  <w:b/>
                  <w:sz w:val="16"/>
                  <w:szCs w:val="16"/>
                  <w:lang w:val="sr-Cyrl-RS"/>
                </w:rPr>
                <w:t>‘</w:t>
              </w:r>
              <w:r>
                <w:rPr>
                  <w:rStyle w:val="Hyperlink"/>
                  <w:b/>
                  <w:sz w:val="16"/>
                  <w:szCs w:val="16"/>
                  <w:lang w:val="sr-Latn-RS"/>
                </w:rPr>
                <w:t>новој</w:t>
              </w:r>
              <w:r>
                <w:rPr>
                  <w:rStyle w:val="Hyperlink"/>
                  <w:b/>
                  <w:sz w:val="16"/>
                  <w:szCs w:val="16"/>
                  <w:lang w:val="sr-Cyrl-RS"/>
                </w:rPr>
                <w:t>’</w:t>
              </w:r>
              <w:r>
                <w:rPr>
                  <w:rStyle w:val="Hyperlink"/>
                  <w:b/>
                  <w:sz w:val="16"/>
                  <w:szCs w:val="16"/>
                  <w:lang w:val="sr-Latn-RS"/>
                </w:rPr>
                <w:t xml:space="preserve"> социологији (са)знањ</w:t>
              </w:r>
              <w:r>
                <w:rPr>
                  <w:rStyle w:val="Hyperlink"/>
                  <w:b/>
                  <w:sz w:val="16"/>
                  <w:szCs w:val="16"/>
                  <w:lang w:val="sr-Cyrl-RS"/>
                </w:rPr>
                <w:t>а</w:t>
              </w:r>
            </w:hyperlink>
            <w:r>
              <w:rPr>
                <w:sz w:val="16"/>
                <w:szCs w:val="16"/>
                <w:lang w:val="sr-Latn-RS"/>
              </w:rPr>
              <w:t>“ (</w:t>
            </w:r>
            <w:r>
              <w:rPr>
                <w:i/>
                <w:sz w:val="16"/>
                <w:szCs w:val="16"/>
                <w:lang w:val="sr-Latn-RS"/>
              </w:rPr>
              <w:t xml:space="preserve">Годишњак за социологију </w:t>
            </w:r>
            <w:r>
              <w:rPr>
                <w:sz w:val="16"/>
                <w:szCs w:val="16"/>
                <w:lang w:val="sr-Latn-RS"/>
              </w:rPr>
              <w:t>XIX/31, 2023, стр. 75–83.)</w:t>
            </w:r>
          </w:p>
          <w:p w:rsidR="00376FBD" w:rsidRDefault="00A25779">
            <w:pPr>
              <w:ind w:left="284" w:hanging="284"/>
              <w:rPr>
                <w:sz w:val="16"/>
                <w:szCs w:val="16"/>
                <w:lang w:val="sr-Latn-RS"/>
              </w:rPr>
            </w:pPr>
            <w:r>
              <w:rPr>
                <w:sz w:val="16"/>
                <w:szCs w:val="16"/>
                <w:lang w:val="sr-Latn-RS"/>
              </w:rPr>
              <w:t xml:space="preserve">Питер Бергер и Хансфрид Келнер </w:t>
            </w:r>
            <w:r>
              <w:rPr>
                <w:b/>
                <w:color w:val="002060"/>
                <w:sz w:val="16"/>
                <w:szCs w:val="16"/>
                <w:u w:color="FF0000"/>
                <w:lang w:val="sr-Latn-RS"/>
              </w:rPr>
              <w:t>·</w:t>
            </w:r>
            <w:r>
              <w:rPr>
                <w:sz w:val="16"/>
                <w:szCs w:val="16"/>
                <w:lang w:val="sr-Latn-RS"/>
              </w:rPr>
              <w:t xml:space="preserve"> </w:t>
            </w:r>
            <w:r>
              <w:rPr>
                <w:b/>
                <w:i/>
                <w:sz w:val="16"/>
                <w:szCs w:val="16"/>
                <w:lang w:val="sr-Latn-RS"/>
              </w:rPr>
              <w:t>Социологија у новом кључу</w:t>
            </w:r>
            <w:r>
              <w:rPr>
                <w:sz w:val="16"/>
                <w:szCs w:val="16"/>
                <w:lang w:val="sr-Latn-RS"/>
              </w:rPr>
              <w:t xml:space="preserve"> (Ниш: Градина, 1991.)</w:t>
            </w:r>
          </w:p>
          <w:p w:rsidR="00376FBD" w:rsidRDefault="00A25779">
            <w:pPr>
              <w:ind w:left="284" w:hanging="284"/>
              <w:rPr>
                <w:sz w:val="16"/>
                <w:szCs w:val="16"/>
                <w:lang w:val="sr-Latn-RS"/>
              </w:rPr>
            </w:pPr>
            <w:r>
              <w:rPr>
                <w:sz w:val="16"/>
                <w:szCs w:val="16"/>
                <w:lang w:val="sr-Latn-RS"/>
              </w:rPr>
              <w:t xml:space="preserve">Fran Collyer (Ed.) </w:t>
            </w:r>
            <w:hyperlink r:id="rId13" w:history="1">
              <w:r>
                <w:rPr>
                  <w:rStyle w:val="Hyperlink"/>
                  <w:b/>
                  <w:i/>
                  <w:sz w:val="16"/>
                  <w:szCs w:val="16"/>
                  <w:lang w:val="sr-Latn-RS"/>
                </w:rPr>
                <w:t>Research Handbook on the Sociology of Knowledge</w:t>
              </w:r>
            </w:hyperlink>
            <w:r>
              <w:rPr>
                <w:sz w:val="16"/>
                <w:szCs w:val="16"/>
                <w:lang w:val="sr-Latn-RS"/>
              </w:rPr>
              <w:t xml:space="preserve"> (Cheltenham: Edward Elgar Publishing, 2025)</w:t>
            </w:r>
          </w:p>
          <w:p w:rsidR="00376FBD" w:rsidRDefault="00A25779">
            <w:pPr>
              <w:ind w:left="284" w:hanging="284"/>
              <w:rPr>
                <w:sz w:val="16"/>
                <w:szCs w:val="16"/>
                <w:lang w:val="sr-Latn-RS"/>
              </w:rPr>
            </w:pPr>
            <w:r>
              <w:rPr>
                <w:sz w:val="16"/>
                <w:szCs w:val="16"/>
                <w:lang w:val="sr-Latn-RS"/>
              </w:rPr>
              <w:t xml:space="preserve">Volker Meja &amp; Nico Stehr (Eds.) </w:t>
            </w:r>
            <w:r>
              <w:rPr>
                <w:b/>
                <w:color w:val="002060"/>
                <w:sz w:val="16"/>
                <w:szCs w:val="16"/>
                <w:u w:color="FF0000"/>
                <w:lang w:val="sr-Latn-RS"/>
              </w:rPr>
              <w:t>·</w:t>
            </w:r>
            <w:r>
              <w:rPr>
                <w:sz w:val="16"/>
                <w:szCs w:val="16"/>
                <w:lang w:val="sr-Latn-RS"/>
              </w:rPr>
              <w:t xml:space="preserve"> </w:t>
            </w:r>
            <w:hyperlink r:id="rId14" w:history="1">
              <w:r>
                <w:rPr>
                  <w:rStyle w:val="Hyperlink"/>
                  <w:b/>
                  <w:i/>
                  <w:sz w:val="16"/>
                  <w:szCs w:val="16"/>
                  <w:lang w:val="sr-Latn-RS"/>
                </w:rPr>
                <w:t>The Sociology of Knowledge, Vol. 1 &amp; 2</w:t>
              </w:r>
            </w:hyperlink>
            <w:r>
              <w:rPr>
                <w:sz w:val="16"/>
                <w:szCs w:val="16"/>
                <w:lang w:val="sr-Latn-RS"/>
              </w:rPr>
              <w:t xml:space="preserve"> (Cheltenham: Edward Elgar Publishing, 1999)</w:t>
            </w:r>
          </w:p>
          <w:p w:rsidR="00376FBD" w:rsidRDefault="00A25779">
            <w:pPr>
              <w:ind w:left="284" w:hanging="284"/>
              <w:rPr>
                <w:sz w:val="16"/>
                <w:szCs w:val="16"/>
                <w:lang w:val="sr-Latn-RS"/>
              </w:rPr>
            </w:pPr>
            <w:r>
              <w:rPr>
                <w:sz w:val="16"/>
                <w:szCs w:val="16"/>
                <w:lang w:val="sr-Latn-RS"/>
              </w:rPr>
              <w:t xml:space="preserve">Душан Маринковић и Душан Ристић (прир.) </w:t>
            </w:r>
            <w:r>
              <w:rPr>
                <w:b/>
                <w:color w:val="002060"/>
                <w:sz w:val="16"/>
                <w:szCs w:val="16"/>
                <w:u w:color="FF0000"/>
                <w:lang w:val="sr-Latn-RS"/>
              </w:rPr>
              <w:t>·</w:t>
            </w:r>
            <w:r>
              <w:rPr>
                <w:sz w:val="16"/>
                <w:szCs w:val="16"/>
                <w:lang w:val="sr-Latn-RS"/>
              </w:rPr>
              <w:t xml:space="preserve"> </w:t>
            </w:r>
            <w:hyperlink r:id="rId15" w:history="1">
              <w:r>
                <w:rPr>
                  <w:rStyle w:val="Hyperlink"/>
                  <w:b/>
                  <w:i/>
                  <w:sz w:val="16"/>
                  <w:szCs w:val="16"/>
                  <w:lang w:val="sr-Latn-RS"/>
                </w:rPr>
                <w:t>Друштво и знање</w:t>
              </w:r>
            </w:hyperlink>
            <w:r>
              <w:rPr>
                <w:sz w:val="16"/>
                <w:szCs w:val="16"/>
                <w:lang w:val="sr-Latn-RS"/>
              </w:rPr>
              <w:t xml:space="preserve"> (Нови Сад: Mediterran Publishing, 2015.)</w:t>
            </w:r>
          </w:p>
          <w:p w:rsidR="00376FBD" w:rsidRDefault="00A25779">
            <w:pPr>
              <w:ind w:left="284" w:hanging="284"/>
              <w:rPr>
                <w:sz w:val="16"/>
                <w:szCs w:val="16"/>
                <w:lang w:val="sr-Latn-RS"/>
              </w:rPr>
            </w:pPr>
            <w:r>
              <w:rPr>
                <w:sz w:val="16"/>
                <w:szCs w:val="16"/>
                <w:lang w:val="sr-Latn-RS"/>
              </w:rPr>
              <w:t xml:space="preserve">Hubert Knoblauch </w:t>
            </w:r>
            <w:r>
              <w:rPr>
                <w:b/>
                <w:color w:val="002060"/>
                <w:sz w:val="16"/>
                <w:szCs w:val="16"/>
                <w:u w:color="FF0000"/>
                <w:lang w:val="sr-Latn-RS"/>
              </w:rPr>
              <w:t>·</w:t>
            </w:r>
            <w:r>
              <w:rPr>
                <w:sz w:val="16"/>
                <w:szCs w:val="16"/>
                <w:lang w:val="sr-Latn-RS"/>
              </w:rPr>
              <w:t xml:space="preserve"> </w:t>
            </w:r>
            <w:hyperlink r:id="rId16" w:history="1">
              <w:r>
                <w:rPr>
                  <w:rStyle w:val="Hyperlink"/>
                  <w:b/>
                  <w:i/>
                  <w:sz w:val="16"/>
                  <w:szCs w:val="16"/>
                </w:rPr>
                <w:t>The Communicative Construction of Reality</w:t>
              </w:r>
            </w:hyperlink>
            <w:r>
              <w:rPr>
                <w:sz w:val="16"/>
                <w:szCs w:val="16"/>
                <w:lang w:val="sr-Latn-RS"/>
              </w:rPr>
              <w:t xml:space="preserve"> (London: Routledge, 2020)</w:t>
            </w:r>
          </w:p>
          <w:p w:rsidR="00376FBD" w:rsidRDefault="00A25779">
            <w:pPr>
              <w:ind w:left="284" w:hanging="284"/>
              <w:rPr>
                <w:sz w:val="16"/>
                <w:szCs w:val="16"/>
                <w:lang w:val="sr-Latn-RS"/>
              </w:rPr>
            </w:pPr>
            <w:r>
              <w:rPr>
                <w:sz w:val="16"/>
                <w:szCs w:val="16"/>
                <w:lang w:val="sr-Latn-RS"/>
              </w:rPr>
              <w:t xml:space="preserve">Hubert Knoblauch, David Joshua Schröder, Lynn Sibert, Frederike Brandt (eds.) </w:t>
            </w:r>
            <w:r>
              <w:rPr>
                <w:b/>
                <w:color w:val="002060"/>
                <w:sz w:val="16"/>
                <w:szCs w:val="16"/>
                <w:u w:color="FF0000"/>
                <w:lang w:val="sr-Latn-RS"/>
              </w:rPr>
              <w:t>·</w:t>
            </w:r>
            <w:r>
              <w:rPr>
                <w:sz w:val="16"/>
                <w:szCs w:val="16"/>
                <w:lang w:val="sr-Latn-RS"/>
              </w:rPr>
              <w:t xml:space="preserve"> </w:t>
            </w:r>
            <w:hyperlink r:id="rId17" w:history="1">
              <w:r>
                <w:rPr>
                  <w:rStyle w:val="Hyperlink"/>
                  <w:b/>
                  <w:i/>
                  <w:sz w:val="16"/>
                  <w:szCs w:val="16"/>
                </w:rPr>
                <w:t>Communicative Constructivism and the Empirical Study of Social Reality: Contributions to a New Theory</w:t>
              </w:r>
            </w:hyperlink>
            <w:r>
              <w:rPr>
                <w:sz w:val="16"/>
                <w:szCs w:val="16"/>
                <w:lang w:val="sr-Latn-RS"/>
              </w:rPr>
              <w:t xml:space="preserve"> (London: Routledge, 2026)</w:t>
            </w:r>
          </w:p>
          <w:p w:rsidR="00376FBD" w:rsidRDefault="00A25779">
            <w:pPr>
              <w:ind w:left="284" w:hanging="284"/>
              <w:rPr>
                <w:sz w:val="16"/>
                <w:szCs w:val="16"/>
                <w:lang w:val="sr-Latn-RS"/>
              </w:rPr>
            </w:pPr>
            <w:r>
              <w:rPr>
                <w:sz w:val="16"/>
                <w:szCs w:val="16"/>
                <w:lang w:val="sr-Latn-RS"/>
              </w:rPr>
              <w:t xml:space="preserve">Ajit Singh, Christian Meier zu Verl, René Tuma (eds.) </w:t>
            </w:r>
            <w:r>
              <w:rPr>
                <w:b/>
                <w:color w:val="002060"/>
                <w:sz w:val="16"/>
                <w:szCs w:val="16"/>
                <w:u w:color="FF0000"/>
                <w:lang w:val="sr-Latn-RS"/>
              </w:rPr>
              <w:t>·</w:t>
            </w:r>
            <w:r>
              <w:rPr>
                <w:sz w:val="16"/>
                <w:szCs w:val="16"/>
                <w:lang w:val="sr-Latn-RS"/>
              </w:rPr>
              <w:t xml:space="preserve"> </w:t>
            </w:r>
            <w:hyperlink r:id="rId18" w:history="1">
              <w:r>
                <w:rPr>
                  <w:rStyle w:val="Hyperlink"/>
                  <w:b/>
                  <w:i/>
                  <w:sz w:val="16"/>
                  <w:szCs w:val="16"/>
                </w:rPr>
                <w:t>Video-Analysis and Knowledge on Rewind: Contributions to Social Theory and the Sociology of Knowledge</w:t>
              </w:r>
            </w:hyperlink>
            <w:r>
              <w:rPr>
                <w:sz w:val="16"/>
                <w:szCs w:val="16"/>
                <w:lang w:val="sr-Latn-RS"/>
              </w:rPr>
              <w:t xml:space="preserve"> (London: Routledge, 2025)</w:t>
            </w:r>
          </w:p>
          <w:p w:rsidR="00376FBD" w:rsidRDefault="00A25779">
            <w:pPr>
              <w:ind w:left="284" w:hanging="284"/>
              <w:rPr>
                <w:sz w:val="16"/>
                <w:szCs w:val="16"/>
                <w:lang w:val="sr-Latn-RS"/>
              </w:rPr>
            </w:pPr>
            <w:r>
              <w:rPr>
                <w:sz w:val="16"/>
                <w:szCs w:val="16"/>
                <w:lang w:val="sr-Latn-RS"/>
              </w:rPr>
              <w:t xml:space="preserve">Philip D. Walsh </w:t>
            </w:r>
            <w:r>
              <w:rPr>
                <w:b/>
                <w:color w:val="002060"/>
                <w:sz w:val="16"/>
                <w:szCs w:val="16"/>
                <w:u w:color="FF0000"/>
                <w:lang w:val="sr-Latn-RS"/>
              </w:rPr>
              <w:t>·</w:t>
            </w:r>
            <w:r>
              <w:rPr>
                <w:sz w:val="16"/>
                <w:szCs w:val="16"/>
                <w:lang w:val="sr-Latn-RS"/>
              </w:rPr>
              <w:t xml:space="preserve"> </w:t>
            </w:r>
            <w:hyperlink r:id="rId19" w:history="1">
              <w:r>
                <w:rPr>
                  <w:rStyle w:val="Hyperlink"/>
                  <w:b/>
                  <w:i/>
                  <w:sz w:val="16"/>
                  <w:szCs w:val="16"/>
                </w:rPr>
                <w:t>The Reality of Knowledge: Towards a Critical Realist Sociology of Knowledge</w:t>
              </w:r>
            </w:hyperlink>
            <w:r>
              <w:rPr>
                <w:sz w:val="16"/>
                <w:szCs w:val="16"/>
                <w:lang w:val="sr-Latn-RS"/>
              </w:rPr>
              <w:t xml:space="preserve"> (London: Routledge, 2026)</w:t>
            </w:r>
          </w:p>
          <w:p w:rsidR="00376FBD" w:rsidRDefault="00A25779">
            <w:pPr>
              <w:ind w:left="284" w:hanging="284"/>
              <w:rPr>
                <w:sz w:val="16"/>
                <w:szCs w:val="16"/>
                <w:lang w:val="sr-Latn-RS"/>
              </w:rPr>
            </w:pPr>
            <w:r>
              <w:rPr>
                <w:sz w:val="16"/>
                <w:szCs w:val="16"/>
                <w:lang w:val="sr-Latn-RS"/>
              </w:rPr>
              <w:t xml:space="preserve">Војин Милић </w:t>
            </w:r>
            <w:r>
              <w:rPr>
                <w:b/>
                <w:color w:val="002060"/>
                <w:sz w:val="16"/>
                <w:szCs w:val="16"/>
                <w:u w:color="FF0000"/>
                <w:lang w:val="sr-Latn-RS"/>
              </w:rPr>
              <w:t>·</w:t>
            </w:r>
            <w:r>
              <w:rPr>
                <w:sz w:val="16"/>
                <w:szCs w:val="16"/>
                <w:lang w:val="sr-Latn-RS"/>
              </w:rPr>
              <w:t xml:space="preserve"> </w:t>
            </w:r>
            <w:r>
              <w:rPr>
                <w:b/>
                <w:i/>
                <w:sz w:val="16"/>
                <w:szCs w:val="16"/>
                <w:lang w:val="sr-Latn-RS"/>
              </w:rPr>
              <w:t>Социологија сазнања</w:t>
            </w:r>
            <w:r>
              <w:rPr>
                <w:sz w:val="16"/>
                <w:szCs w:val="16"/>
                <w:lang w:val="sr-Latn-RS"/>
              </w:rPr>
              <w:t xml:space="preserve"> (Сарајево: Веселин Маслеша, 1986.)</w:t>
            </w:r>
          </w:p>
          <w:p w:rsidR="00376FBD" w:rsidRDefault="00A25779">
            <w:pPr>
              <w:ind w:left="284" w:hanging="284"/>
              <w:rPr>
                <w:sz w:val="16"/>
                <w:szCs w:val="16"/>
                <w:lang w:val="sr-Latn-RS"/>
              </w:rPr>
            </w:pPr>
            <w:r>
              <w:rPr>
                <w:sz w:val="16"/>
                <w:szCs w:val="16"/>
                <w:lang w:val="sr-Latn-RS"/>
              </w:rPr>
              <w:t xml:space="preserve">Ante Marušić </w:t>
            </w:r>
            <w:r>
              <w:rPr>
                <w:b/>
                <w:color w:val="002060"/>
                <w:sz w:val="16"/>
                <w:szCs w:val="16"/>
                <w:u w:color="FF0000"/>
                <w:lang w:val="sr-Latn-RS"/>
              </w:rPr>
              <w:t>·</w:t>
            </w:r>
            <w:r>
              <w:rPr>
                <w:sz w:val="16"/>
                <w:szCs w:val="16"/>
                <w:lang w:val="sr-Latn-RS"/>
              </w:rPr>
              <w:t xml:space="preserve"> </w:t>
            </w:r>
            <w:r>
              <w:rPr>
                <w:b/>
                <w:i/>
                <w:sz w:val="16"/>
                <w:szCs w:val="16"/>
                <w:lang w:val="sr-Latn-RS"/>
              </w:rPr>
              <w:t>Sociologija znanja i marksizam</w:t>
            </w:r>
            <w:r>
              <w:rPr>
                <w:sz w:val="16"/>
                <w:szCs w:val="16"/>
                <w:lang w:val="sr-Latn-RS"/>
              </w:rPr>
              <w:t xml:space="preserve"> (Zagreb: Školska knjiga, 1986.)</w:t>
            </w:r>
          </w:p>
          <w:p w:rsidR="00376FBD" w:rsidRDefault="00A25779">
            <w:pPr>
              <w:ind w:left="284" w:hanging="284"/>
              <w:rPr>
                <w:sz w:val="16"/>
                <w:szCs w:val="16"/>
                <w:lang w:val="sr-Latn-RS"/>
              </w:rPr>
            </w:pPr>
            <w:r>
              <w:rPr>
                <w:sz w:val="16"/>
                <w:szCs w:val="16"/>
                <w:lang w:val="sr-Latn-RS"/>
              </w:rPr>
              <w:t xml:space="preserve">Карл Манхајм </w:t>
            </w:r>
            <w:r>
              <w:rPr>
                <w:b/>
                <w:color w:val="002060"/>
                <w:sz w:val="16"/>
                <w:szCs w:val="16"/>
                <w:u w:color="FF0000"/>
                <w:lang w:val="sr-Latn-RS"/>
              </w:rPr>
              <w:t>·</w:t>
            </w:r>
            <w:r>
              <w:rPr>
                <w:sz w:val="16"/>
                <w:szCs w:val="16"/>
                <w:lang w:val="sr-Latn-RS"/>
              </w:rPr>
              <w:t xml:space="preserve"> </w:t>
            </w:r>
            <w:hyperlink r:id="rId20" w:history="1">
              <w:r>
                <w:rPr>
                  <w:rStyle w:val="Hyperlink"/>
                  <w:b/>
                  <w:i/>
                  <w:sz w:val="16"/>
                  <w:szCs w:val="16"/>
                  <w:lang w:val="sr-Latn-RS"/>
                </w:rPr>
                <w:t>Есеји о социологији знања</w:t>
              </w:r>
            </w:hyperlink>
            <w:r>
              <w:rPr>
                <w:sz w:val="16"/>
                <w:szCs w:val="16"/>
                <w:lang w:val="sr-Latn-RS"/>
              </w:rPr>
              <w:t xml:space="preserve"> (Нови Сад: Mediterran Publishing, 2008.) </w:t>
            </w:r>
          </w:p>
          <w:p w:rsidR="00376FBD" w:rsidRDefault="00A25779">
            <w:pPr>
              <w:ind w:left="284" w:hanging="284"/>
              <w:rPr>
                <w:sz w:val="16"/>
                <w:szCs w:val="16"/>
                <w:lang w:val="sr-Latn-RS"/>
              </w:rPr>
            </w:pPr>
            <w:r>
              <w:rPr>
                <w:sz w:val="16"/>
                <w:szCs w:val="16"/>
                <w:lang w:val="sr-Latn-RS"/>
              </w:rPr>
              <w:t xml:space="preserve">Душан Маринковић (прир.) </w:t>
            </w:r>
            <w:r>
              <w:rPr>
                <w:b/>
                <w:color w:val="002060"/>
                <w:sz w:val="16"/>
                <w:szCs w:val="16"/>
                <w:u w:color="FF0000"/>
                <w:lang w:val="sr-Latn-RS"/>
              </w:rPr>
              <w:t>·</w:t>
            </w:r>
            <w:r>
              <w:rPr>
                <w:sz w:val="16"/>
                <w:szCs w:val="16"/>
                <w:lang w:val="sr-Latn-RS"/>
              </w:rPr>
              <w:t xml:space="preserve"> </w:t>
            </w:r>
            <w:hyperlink r:id="rId21" w:history="1">
              <w:r>
                <w:rPr>
                  <w:rStyle w:val="Hyperlink"/>
                  <w:b/>
                  <w:i/>
                  <w:sz w:val="16"/>
                  <w:szCs w:val="16"/>
                  <w:lang w:val="sr-Latn-RS"/>
                </w:rPr>
                <w:t>Карл Манхајм: 1893–1947</w:t>
              </w:r>
            </w:hyperlink>
            <w:r>
              <w:rPr>
                <w:sz w:val="16"/>
                <w:szCs w:val="16"/>
                <w:lang w:val="sr-Latn-RS"/>
              </w:rPr>
              <w:t xml:space="preserve"> (Нови Сад: Mediterran Publishing: Војвођанска социолошка асоцијација, 2010.)</w:t>
            </w:r>
          </w:p>
          <w:p w:rsidR="00376FBD" w:rsidRDefault="00A25779">
            <w:pPr>
              <w:ind w:left="284" w:hanging="284"/>
              <w:rPr>
                <w:sz w:val="16"/>
                <w:szCs w:val="16"/>
                <w:lang w:val="sr-Latn-RS"/>
              </w:rPr>
            </w:pPr>
            <w:r>
              <w:rPr>
                <w:sz w:val="16"/>
                <w:szCs w:val="16"/>
                <w:lang w:val="sr-Latn-RS"/>
              </w:rPr>
              <w:t xml:space="preserve">Ante Marušić </w:t>
            </w:r>
            <w:r>
              <w:rPr>
                <w:b/>
                <w:color w:val="002060"/>
                <w:sz w:val="16"/>
                <w:szCs w:val="16"/>
                <w:u w:color="FF0000"/>
                <w:lang w:val="sr-Latn-RS"/>
              </w:rPr>
              <w:t>·</w:t>
            </w:r>
            <w:r>
              <w:rPr>
                <w:sz w:val="16"/>
                <w:szCs w:val="16"/>
                <w:lang w:val="sr-Latn-RS"/>
              </w:rPr>
              <w:t xml:space="preserve"> </w:t>
            </w:r>
            <w:r>
              <w:rPr>
                <w:b/>
                <w:i/>
                <w:sz w:val="16"/>
                <w:szCs w:val="16"/>
                <w:lang w:val="sr-Latn-RS"/>
              </w:rPr>
              <w:t>Ideologija zbilјa i istina: temelјi sociologije znanja Karla Mannheima</w:t>
            </w:r>
            <w:r>
              <w:rPr>
                <w:sz w:val="16"/>
                <w:szCs w:val="16"/>
                <w:lang w:val="sr-Latn-RS"/>
              </w:rPr>
              <w:t xml:space="preserve"> (Split: „Marko Marulić“, 1971.)</w:t>
            </w:r>
          </w:p>
          <w:p w:rsidR="00376FBD" w:rsidRDefault="00A25779">
            <w:pPr>
              <w:ind w:left="284" w:hanging="284"/>
              <w:rPr>
                <w:sz w:val="16"/>
                <w:szCs w:val="16"/>
                <w:lang w:val="sr-Latn-RS"/>
              </w:rPr>
            </w:pPr>
            <w:r>
              <w:rPr>
                <w:sz w:val="16"/>
                <w:szCs w:val="16"/>
                <w:lang w:val="sr-Latn-RS"/>
              </w:rPr>
              <w:t xml:space="preserve">Луј Алтисер </w:t>
            </w:r>
            <w:r>
              <w:rPr>
                <w:b/>
                <w:color w:val="002060"/>
                <w:sz w:val="16"/>
                <w:szCs w:val="16"/>
                <w:u w:color="FF0000"/>
                <w:lang w:val="sr-Latn-RS"/>
              </w:rPr>
              <w:t>·</w:t>
            </w:r>
            <w:r>
              <w:rPr>
                <w:sz w:val="16"/>
                <w:szCs w:val="16"/>
                <w:lang w:val="sr-Latn-RS"/>
              </w:rPr>
              <w:t xml:space="preserve"> </w:t>
            </w:r>
            <w:hyperlink r:id="rId22" w:history="1">
              <w:r>
                <w:rPr>
                  <w:rStyle w:val="Hyperlink"/>
                  <w:b/>
                  <w:i/>
                  <w:sz w:val="16"/>
                  <w:szCs w:val="16"/>
                  <w:lang w:val="sr-Latn-RS"/>
                </w:rPr>
                <w:t>Идеологија и државни идеолошки апарати</w:t>
              </w:r>
            </w:hyperlink>
            <w:r>
              <w:rPr>
                <w:sz w:val="16"/>
                <w:szCs w:val="16"/>
                <w:lang w:val="sr-Latn-RS"/>
              </w:rPr>
              <w:t xml:space="preserve"> (Лозница: Карпос, 2009.)</w:t>
            </w:r>
          </w:p>
          <w:p w:rsidR="00376FBD" w:rsidRDefault="00A25779">
            <w:pPr>
              <w:ind w:left="284" w:hanging="284"/>
              <w:rPr>
                <w:sz w:val="16"/>
                <w:szCs w:val="16"/>
                <w:lang w:val="sr-Latn-RS"/>
              </w:rPr>
            </w:pPr>
            <w:r>
              <w:rPr>
                <w:sz w:val="16"/>
                <w:szCs w:val="16"/>
                <w:lang w:val="sr-Latn-RS"/>
              </w:rPr>
              <w:t xml:space="preserve">Антонио Грамши </w:t>
            </w:r>
            <w:r>
              <w:rPr>
                <w:b/>
                <w:color w:val="002060"/>
                <w:sz w:val="16"/>
                <w:szCs w:val="16"/>
                <w:u w:color="FF0000"/>
                <w:lang w:val="sr-Latn-RS"/>
              </w:rPr>
              <w:t>·</w:t>
            </w:r>
            <w:r>
              <w:rPr>
                <w:sz w:val="16"/>
                <w:szCs w:val="16"/>
                <w:lang w:val="sr-Latn-RS"/>
              </w:rPr>
              <w:t xml:space="preserve"> </w:t>
            </w:r>
            <w:r>
              <w:rPr>
                <w:b/>
                <w:i/>
                <w:sz w:val="16"/>
                <w:szCs w:val="16"/>
                <w:lang w:val="sr-Latn-RS"/>
              </w:rPr>
              <w:t>Интелектуалци · култура · хегемонија</w:t>
            </w:r>
            <w:r>
              <w:rPr>
                <w:sz w:val="16"/>
                <w:szCs w:val="16"/>
                <w:lang w:val="sr-Latn-RS"/>
              </w:rPr>
              <w:t xml:space="preserve"> (Нови Сад: Mediterran Publishing, 2018.)</w:t>
            </w:r>
          </w:p>
          <w:p w:rsidR="00376FBD" w:rsidRDefault="00A25779">
            <w:pPr>
              <w:ind w:left="284" w:hanging="284"/>
              <w:rPr>
                <w:sz w:val="16"/>
                <w:szCs w:val="16"/>
                <w:lang w:val="sr-Latn-RS"/>
              </w:rPr>
            </w:pPr>
            <w:r>
              <w:rPr>
                <w:sz w:val="16"/>
                <w:szCs w:val="16"/>
                <w:lang w:val="sr-Latn-RS"/>
              </w:rPr>
              <w:t xml:space="preserve">Jan Rehmann </w:t>
            </w:r>
            <w:r>
              <w:rPr>
                <w:b/>
                <w:color w:val="002060"/>
                <w:sz w:val="16"/>
                <w:szCs w:val="16"/>
                <w:u w:color="FF0000"/>
                <w:lang w:val="sr-Latn-RS"/>
              </w:rPr>
              <w:t>·</w:t>
            </w:r>
            <w:r>
              <w:rPr>
                <w:sz w:val="16"/>
                <w:szCs w:val="16"/>
                <w:lang w:val="sr-Latn-RS"/>
              </w:rPr>
              <w:t xml:space="preserve"> “</w:t>
            </w:r>
            <w:hyperlink r:id="rId23" w:history="1">
              <w:r>
                <w:rPr>
                  <w:rStyle w:val="Hyperlink"/>
                  <w:b/>
                  <w:sz w:val="16"/>
                  <w:szCs w:val="16"/>
                  <w:lang w:val="sr-Latn-RS"/>
                </w:rPr>
                <w:t>Ideology as Alienated Socialization</w:t>
              </w:r>
            </w:hyperlink>
            <w:r>
              <w:rPr>
                <w:sz w:val="16"/>
                <w:szCs w:val="16"/>
                <w:lang w:val="sr-Latn-RS"/>
              </w:rPr>
              <w:t xml:space="preserve">”, u: Matt Vidal et al. (eds), </w:t>
            </w:r>
            <w:r>
              <w:rPr>
                <w:i/>
                <w:sz w:val="16"/>
                <w:szCs w:val="16"/>
                <w:lang w:val="sr-Latn-RS"/>
              </w:rPr>
              <w:t>The Oxford Handbook of Karl Marx</w:t>
            </w:r>
            <w:r>
              <w:rPr>
                <w:sz w:val="16"/>
                <w:szCs w:val="16"/>
                <w:lang w:val="sr-Latn-RS"/>
              </w:rPr>
              <w:t>, str. 111–127. (New York: Oxford University Press, 2018)</w:t>
            </w:r>
          </w:p>
          <w:p w:rsidR="00376FBD" w:rsidRDefault="00A25779">
            <w:pPr>
              <w:ind w:left="284" w:hanging="284"/>
              <w:rPr>
                <w:sz w:val="16"/>
                <w:szCs w:val="16"/>
                <w:lang w:val="sr-Latn-RS"/>
              </w:rPr>
            </w:pPr>
            <w:r>
              <w:rPr>
                <w:sz w:val="16"/>
                <w:szCs w:val="16"/>
                <w:lang w:val="sr-Latn-RS"/>
              </w:rPr>
              <w:t xml:space="preserve">Лисјен Голдман </w:t>
            </w:r>
            <w:r>
              <w:rPr>
                <w:b/>
                <w:color w:val="002060"/>
                <w:sz w:val="16"/>
                <w:szCs w:val="16"/>
                <w:u w:color="FF0000"/>
                <w:lang w:val="sr-Latn-RS"/>
              </w:rPr>
              <w:t>·</w:t>
            </w:r>
            <w:r>
              <w:rPr>
                <w:sz w:val="16"/>
                <w:szCs w:val="16"/>
                <w:lang w:val="sr-Latn-RS"/>
              </w:rPr>
              <w:t xml:space="preserve"> </w:t>
            </w:r>
            <w:r>
              <w:rPr>
                <w:b/>
                <w:i/>
                <w:sz w:val="16"/>
                <w:szCs w:val="16"/>
                <w:lang w:val="sr-Latn-RS"/>
              </w:rPr>
              <w:t>Скривени бог</w:t>
            </w:r>
            <w:r>
              <w:rPr>
                <w:sz w:val="16"/>
                <w:szCs w:val="16"/>
                <w:lang w:val="sr-Latn-RS"/>
              </w:rPr>
              <w:t xml:space="preserve"> (Београд: БИГЗ, 1980.)</w:t>
            </w:r>
          </w:p>
          <w:p w:rsidR="00376FBD" w:rsidRDefault="00A25779">
            <w:pPr>
              <w:ind w:left="284" w:hanging="284"/>
              <w:rPr>
                <w:sz w:val="15"/>
                <w:szCs w:val="15"/>
                <w:lang w:val="sr-Latn-RS"/>
              </w:rPr>
            </w:pPr>
            <w:r>
              <w:rPr>
                <w:sz w:val="16"/>
                <w:szCs w:val="16"/>
                <w:lang w:val="sr-Latn-RS"/>
              </w:rPr>
              <w:t xml:space="preserve">Рајт Милс </w:t>
            </w:r>
            <w:r>
              <w:rPr>
                <w:b/>
                <w:color w:val="002060"/>
                <w:sz w:val="16"/>
                <w:szCs w:val="16"/>
                <w:u w:color="FF0000"/>
                <w:lang w:val="sr-Latn-RS"/>
              </w:rPr>
              <w:t>·</w:t>
            </w:r>
            <w:r>
              <w:rPr>
                <w:sz w:val="16"/>
                <w:szCs w:val="16"/>
                <w:lang w:val="sr-Latn-RS"/>
              </w:rPr>
              <w:t xml:space="preserve"> „</w:t>
            </w:r>
            <w:r>
              <w:rPr>
                <w:b/>
                <w:sz w:val="16"/>
                <w:szCs w:val="16"/>
                <w:lang w:val="sr-Latn-RS"/>
              </w:rPr>
              <w:t>Четврти део: Знање</w:t>
            </w:r>
            <w:r>
              <w:rPr>
                <w:sz w:val="16"/>
                <w:szCs w:val="16"/>
                <w:lang w:val="sr-Latn-RS"/>
              </w:rPr>
              <w:t>“</w:t>
            </w:r>
            <w:r>
              <w:rPr>
                <w:sz w:val="15"/>
                <w:szCs w:val="15"/>
                <w:lang w:val="sr-Latn-RS"/>
              </w:rPr>
              <w:t xml:space="preserve">, у: </w:t>
            </w:r>
            <w:hyperlink r:id="rId24" w:history="1">
              <w:r>
                <w:rPr>
                  <w:rStyle w:val="Hyperlink"/>
                  <w:b/>
                  <w:i/>
                  <w:sz w:val="15"/>
                  <w:szCs w:val="15"/>
                  <w:lang w:val="sr-Latn-RS"/>
                </w:rPr>
                <w:t>Моћ, политика и људи: сабрани есеји Рајта Милса</w:t>
              </w:r>
            </w:hyperlink>
            <w:r>
              <w:rPr>
                <w:sz w:val="15"/>
                <w:szCs w:val="15"/>
                <w:lang w:val="sr-Latn-RS"/>
              </w:rPr>
              <w:t>, стр. 423–621. (Нови Сад: Mediterran publishing, 2013.)</w:t>
            </w:r>
          </w:p>
          <w:p w:rsidR="00376FBD" w:rsidRDefault="00A25779">
            <w:pPr>
              <w:spacing w:after="60"/>
              <w:ind w:left="284" w:hanging="284"/>
              <w:rPr>
                <w:sz w:val="16"/>
                <w:szCs w:val="16"/>
                <w:lang w:val="sr-Latn-RS"/>
              </w:rPr>
            </w:pPr>
            <w:r>
              <w:rPr>
                <w:sz w:val="16"/>
                <w:szCs w:val="16"/>
                <w:lang w:val="sr-Latn-RS"/>
              </w:rPr>
              <w:t xml:space="preserve">Kurt H. Wolff </w:t>
            </w:r>
            <w:r>
              <w:rPr>
                <w:b/>
                <w:color w:val="002060"/>
                <w:sz w:val="16"/>
                <w:szCs w:val="16"/>
                <w:u w:color="FF0000"/>
                <w:lang w:val="sr-Latn-RS"/>
              </w:rPr>
              <w:t>·</w:t>
            </w:r>
            <w:r>
              <w:rPr>
                <w:sz w:val="16"/>
                <w:szCs w:val="16"/>
                <w:lang w:val="sr-Latn-RS"/>
              </w:rPr>
              <w:t xml:space="preserve"> </w:t>
            </w:r>
            <w:r>
              <w:rPr>
                <w:b/>
                <w:i/>
                <w:sz w:val="16"/>
                <w:szCs w:val="16"/>
                <w:lang w:val="sr-Latn-RS"/>
              </w:rPr>
              <w:t>Uvod u sociologiju znanja</w:t>
            </w:r>
            <w:r>
              <w:rPr>
                <w:sz w:val="16"/>
                <w:szCs w:val="16"/>
                <w:lang w:val="sr-Latn-RS"/>
              </w:rPr>
              <w:t xml:space="preserve"> (Zagreb: Naprijed, 1984.)</w:t>
            </w:r>
          </w:p>
        </w:tc>
      </w:tr>
      <w:tr w:rsidR="00376FBD">
        <w:trPr>
          <w:trHeight w:val="227"/>
          <w:jc w:val="center"/>
        </w:trPr>
        <w:tc>
          <w:tcPr>
            <w:tcW w:w="3146" w:type="dxa"/>
            <w:vAlign w:val="center"/>
          </w:tcPr>
          <w:p w:rsidR="00376FBD" w:rsidRDefault="00A25779">
            <w:pPr>
              <w:tabs>
                <w:tab w:val="left" w:pos="567"/>
              </w:tabs>
              <w:rPr>
                <w:b/>
                <w:bCs/>
                <w:lang w:val="sr-Cyrl-RS"/>
              </w:rPr>
            </w:pPr>
            <w:r>
              <w:rPr>
                <w:b/>
                <w:bCs/>
                <w:lang w:val="sr-Cyrl-RS"/>
              </w:rPr>
              <w:lastRenderedPageBreak/>
              <w:t xml:space="preserve">Број часова </w:t>
            </w:r>
            <w:r>
              <w:rPr>
                <w:b/>
                <w:lang w:val="sr-Cyrl-RS"/>
              </w:rPr>
              <w:t>активне наставе</w:t>
            </w:r>
          </w:p>
        </w:tc>
        <w:tc>
          <w:tcPr>
            <w:tcW w:w="3135" w:type="dxa"/>
            <w:gridSpan w:val="2"/>
            <w:vAlign w:val="center"/>
          </w:tcPr>
          <w:p w:rsidR="00376FBD" w:rsidRDefault="00A25779">
            <w:pPr>
              <w:tabs>
                <w:tab w:val="left" w:pos="567"/>
              </w:tabs>
              <w:rPr>
                <w:b/>
                <w:bCs/>
                <w:lang w:val="en-US"/>
              </w:rPr>
            </w:pPr>
            <w:r>
              <w:rPr>
                <w:b/>
                <w:lang w:val="sr-Cyrl-RS"/>
              </w:rPr>
              <w:t>Теоријска настава:</w:t>
            </w:r>
            <w:r>
              <w:rPr>
                <w:b/>
                <w:lang w:val="en-US"/>
              </w:rPr>
              <w:t xml:space="preserve"> </w:t>
            </w:r>
            <w:r>
              <w:rPr>
                <w:lang w:val="en-US"/>
              </w:rPr>
              <w:t>2</w:t>
            </w:r>
          </w:p>
        </w:tc>
        <w:tc>
          <w:tcPr>
            <w:tcW w:w="3822" w:type="dxa"/>
            <w:gridSpan w:val="2"/>
            <w:vAlign w:val="center"/>
          </w:tcPr>
          <w:p w:rsidR="00376FBD" w:rsidRDefault="00A25779">
            <w:pPr>
              <w:tabs>
                <w:tab w:val="left" w:pos="567"/>
              </w:tabs>
              <w:rPr>
                <w:bCs/>
                <w:lang w:val="en-US"/>
              </w:rPr>
            </w:pPr>
            <w:r>
              <w:rPr>
                <w:b/>
                <w:lang w:val="sr-Cyrl-RS"/>
              </w:rPr>
              <w:t>Практична настава:</w:t>
            </w:r>
            <w:r>
              <w:rPr>
                <w:b/>
                <w:lang w:val="en-US"/>
              </w:rPr>
              <w:t xml:space="preserve"> </w:t>
            </w:r>
            <w:r>
              <w:rPr>
                <w:lang w:val="en-US"/>
              </w:rPr>
              <w:t>2</w:t>
            </w:r>
          </w:p>
        </w:tc>
      </w:tr>
      <w:tr w:rsidR="00376FBD">
        <w:trPr>
          <w:trHeight w:val="905"/>
          <w:jc w:val="center"/>
        </w:trPr>
        <w:tc>
          <w:tcPr>
            <w:tcW w:w="10103" w:type="dxa"/>
            <w:gridSpan w:val="5"/>
            <w:vAlign w:val="center"/>
          </w:tcPr>
          <w:p w:rsidR="00376FBD" w:rsidRDefault="00A25779">
            <w:pPr>
              <w:tabs>
                <w:tab w:val="left" w:pos="567"/>
              </w:tabs>
              <w:spacing w:after="60"/>
              <w:rPr>
                <w:b/>
                <w:bCs/>
                <w:lang w:val="sr-Cyrl-RS"/>
              </w:rPr>
            </w:pPr>
            <w:r>
              <w:rPr>
                <w:b/>
                <w:bCs/>
                <w:lang w:val="sr-Cyrl-RS"/>
              </w:rPr>
              <w:t>Методе извођења наставе</w:t>
            </w:r>
          </w:p>
          <w:p w:rsidR="00376FBD" w:rsidRDefault="00A25779">
            <w:pPr>
              <w:tabs>
                <w:tab w:val="left" w:pos="567"/>
              </w:tabs>
              <w:spacing w:after="60"/>
              <w:jc w:val="both"/>
              <w:rPr>
                <w:sz w:val="18"/>
                <w:szCs w:val="18"/>
                <w:lang w:val="sr-Cyrl-RS"/>
              </w:rPr>
            </w:pPr>
            <w:r>
              <w:rPr>
                <w:sz w:val="18"/>
                <w:szCs w:val="18"/>
              </w:rPr>
              <w:t xml:space="preserve">Предавања, </w:t>
            </w:r>
            <w:r>
              <w:rPr>
                <w:i/>
                <w:iCs/>
                <w:sz w:val="18"/>
                <w:szCs w:val="18"/>
              </w:rPr>
              <w:t>Power Point</w:t>
            </w:r>
            <w:r>
              <w:rPr>
                <w:sz w:val="18"/>
                <w:szCs w:val="18"/>
              </w:rPr>
              <w:t xml:space="preserve"> презентације,</w:t>
            </w:r>
            <w:r>
              <w:rPr>
                <w:sz w:val="18"/>
                <w:szCs w:val="18"/>
                <w:lang w:val="sr-Cyrl-RS"/>
              </w:rPr>
              <w:t xml:space="preserve"> </w:t>
            </w:r>
            <w:r>
              <w:rPr>
                <w:sz w:val="18"/>
                <w:szCs w:val="18"/>
              </w:rPr>
              <w:t xml:space="preserve">анализа текстова, аудио и </w:t>
            </w:r>
            <w:r>
              <w:rPr>
                <w:sz w:val="18"/>
                <w:szCs w:val="18"/>
                <w:lang w:val="sr-Cyrl-RS"/>
              </w:rPr>
              <w:t xml:space="preserve">видео материјала, филмова; </w:t>
            </w:r>
            <w:r>
              <w:rPr>
                <w:sz w:val="18"/>
                <w:szCs w:val="18"/>
              </w:rPr>
              <w:t xml:space="preserve">дискусије </w:t>
            </w:r>
            <w:r>
              <w:rPr>
                <w:sz w:val="18"/>
                <w:szCs w:val="18"/>
                <w:lang w:val="sr-Cyrl-RS"/>
              </w:rPr>
              <w:t xml:space="preserve">и дебате </w:t>
            </w:r>
            <w:r>
              <w:rPr>
                <w:sz w:val="18"/>
                <w:szCs w:val="18"/>
              </w:rPr>
              <w:t>везане за проблеме из литературе</w:t>
            </w:r>
            <w:r>
              <w:rPr>
                <w:sz w:val="18"/>
                <w:szCs w:val="18"/>
                <w:lang w:val="sr-Cyrl-RS"/>
              </w:rPr>
              <w:t>.</w:t>
            </w:r>
          </w:p>
        </w:tc>
      </w:tr>
      <w:tr w:rsidR="00376FBD">
        <w:trPr>
          <w:trHeight w:val="227"/>
          <w:jc w:val="center"/>
        </w:trPr>
        <w:tc>
          <w:tcPr>
            <w:tcW w:w="10103" w:type="dxa"/>
            <w:gridSpan w:val="5"/>
            <w:vAlign w:val="center"/>
          </w:tcPr>
          <w:p w:rsidR="00376FBD" w:rsidRDefault="00A25779">
            <w:pPr>
              <w:tabs>
                <w:tab w:val="left" w:pos="567"/>
              </w:tabs>
              <w:rPr>
                <w:b/>
                <w:bCs/>
                <w:lang w:val="sr-Cyrl-RS"/>
              </w:rPr>
            </w:pPr>
            <w:r>
              <w:rPr>
                <w:b/>
                <w:bCs/>
                <w:lang w:val="sr-Cyrl-RS"/>
              </w:rPr>
              <w:t>Оцена знања (максимални број поена 100)</w:t>
            </w:r>
          </w:p>
        </w:tc>
      </w:tr>
      <w:tr w:rsidR="00376FBD">
        <w:trPr>
          <w:trHeight w:val="227"/>
          <w:jc w:val="center"/>
        </w:trPr>
        <w:tc>
          <w:tcPr>
            <w:tcW w:w="3146" w:type="dxa"/>
          </w:tcPr>
          <w:p w:rsidR="00376FBD" w:rsidRDefault="00A25779">
            <w:pPr>
              <w:tabs>
                <w:tab w:val="left" w:pos="567"/>
              </w:tabs>
              <w:rPr>
                <w:b/>
                <w:iCs/>
                <w:lang w:val="sr-Cyrl-RS"/>
              </w:rPr>
            </w:pPr>
            <w:r>
              <w:rPr>
                <w:b/>
                <w:iCs/>
                <w:lang w:val="sr-Cyrl-RS"/>
              </w:rPr>
              <w:t>Предиспитне обавезе</w:t>
            </w:r>
          </w:p>
        </w:tc>
        <w:tc>
          <w:tcPr>
            <w:tcW w:w="1960" w:type="dxa"/>
          </w:tcPr>
          <w:p w:rsidR="00376FBD" w:rsidRDefault="00A25779">
            <w:pPr>
              <w:tabs>
                <w:tab w:val="left" w:pos="567"/>
              </w:tabs>
              <w:jc w:val="center"/>
              <w:rPr>
                <w:lang w:val="sr-Cyrl-RS"/>
              </w:rPr>
            </w:pPr>
            <w:r>
              <w:rPr>
                <w:lang w:val="sr-Cyrl-RS"/>
              </w:rPr>
              <w:t>поена</w:t>
            </w:r>
          </w:p>
          <w:p w:rsidR="00376FBD" w:rsidRDefault="00376FBD">
            <w:pPr>
              <w:tabs>
                <w:tab w:val="left" w:pos="567"/>
              </w:tabs>
              <w:jc w:val="center"/>
              <w:rPr>
                <w:bCs/>
                <w:lang w:val="sr-Cyrl-RS"/>
              </w:rPr>
            </w:pPr>
          </w:p>
        </w:tc>
        <w:tc>
          <w:tcPr>
            <w:tcW w:w="3223" w:type="dxa"/>
            <w:gridSpan w:val="2"/>
            <w:shd w:val="clear" w:color="auto" w:fill="auto"/>
          </w:tcPr>
          <w:p w:rsidR="00376FBD" w:rsidRDefault="00A25779">
            <w:pPr>
              <w:tabs>
                <w:tab w:val="left" w:pos="567"/>
              </w:tabs>
              <w:rPr>
                <w:b/>
                <w:bCs/>
                <w:lang w:val="sr-Cyrl-RS"/>
              </w:rPr>
            </w:pPr>
            <w:r>
              <w:rPr>
                <w:b/>
                <w:iCs/>
                <w:lang w:val="sr-Cyrl-RS"/>
              </w:rPr>
              <w:t>Завршни испит</w:t>
            </w:r>
          </w:p>
        </w:tc>
        <w:tc>
          <w:tcPr>
            <w:tcW w:w="1774" w:type="dxa"/>
            <w:shd w:val="clear" w:color="auto" w:fill="auto"/>
          </w:tcPr>
          <w:p w:rsidR="00376FBD" w:rsidRDefault="00A25779">
            <w:pPr>
              <w:tabs>
                <w:tab w:val="left" w:pos="567"/>
              </w:tabs>
              <w:jc w:val="center"/>
              <w:rPr>
                <w:bCs/>
                <w:lang w:val="sr-Cyrl-RS"/>
              </w:rPr>
            </w:pPr>
            <w:r>
              <w:rPr>
                <w:lang w:val="sr-Cyrl-RS"/>
              </w:rPr>
              <w:t>поена</w:t>
            </w:r>
          </w:p>
        </w:tc>
      </w:tr>
      <w:tr w:rsidR="00376FBD">
        <w:trPr>
          <w:trHeight w:val="227"/>
          <w:jc w:val="center"/>
        </w:trPr>
        <w:tc>
          <w:tcPr>
            <w:tcW w:w="3146" w:type="dxa"/>
            <w:vAlign w:val="center"/>
          </w:tcPr>
          <w:p w:rsidR="00376FBD" w:rsidRDefault="00A25779">
            <w:pPr>
              <w:tabs>
                <w:tab w:val="left" w:pos="567"/>
              </w:tabs>
              <w:rPr>
                <w:i/>
                <w:iCs/>
                <w:lang w:val="sr-Cyrl-RS"/>
              </w:rPr>
            </w:pPr>
            <w:r>
              <w:rPr>
                <w:lang w:val="sr-Cyrl-RS"/>
              </w:rPr>
              <w:t>активност у току предавања</w:t>
            </w:r>
          </w:p>
        </w:tc>
        <w:tc>
          <w:tcPr>
            <w:tcW w:w="1960" w:type="dxa"/>
            <w:vAlign w:val="center"/>
          </w:tcPr>
          <w:p w:rsidR="00376FBD" w:rsidRDefault="00A25779">
            <w:pPr>
              <w:tabs>
                <w:tab w:val="left" w:pos="567"/>
              </w:tabs>
              <w:jc w:val="center"/>
              <w:rPr>
                <w:bCs/>
                <w:lang w:val="sr-Cyrl-RS"/>
              </w:rPr>
            </w:pPr>
            <w:r>
              <w:rPr>
                <w:bCs/>
                <w:lang w:val="sr-Cyrl-RS"/>
              </w:rPr>
              <w:t>10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376FBD" w:rsidRDefault="00A25779">
            <w:pPr>
              <w:tabs>
                <w:tab w:val="left" w:pos="567"/>
              </w:tabs>
              <w:rPr>
                <w:i/>
                <w:iCs/>
                <w:lang w:val="sr-Cyrl-RS"/>
              </w:rPr>
            </w:pPr>
            <w:r>
              <w:rPr>
                <w:lang w:val="sr-Cyrl-RS"/>
              </w:rPr>
              <w:t>усмени испит</w:t>
            </w:r>
          </w:p>
        </w:tc>
        <w:tc>
          <w:tcPr>
            <w:tcW w:w="1774" w:type="dxa"/>
            <w:shd w:val="clear" w:color="auto" w:fill="auto"/>
            <w:vAlign w:val="center"/>
          </w:tcPr>
          <w:p w:rsidR="00376FBD" w:rsidRDefault="00A25779">
            <w:pPr>
              <w:tabs>
                <w:tab w:val="left" w:pos="567"/>
              </w:tabs>
              <w:jc w:val="center"/>
              <w:rPr>
                <w:iCs/>
                <w:lang w:val="sr-Cyrl-RS"/>
              </w:rPr>
            </w:pPr>
            <w:r>
              <w:rPr>
                <w:iCs/>
                <w:lang w:val="sr-Cyrl-RS"/>
              </w:rPr>
              <w:t>60</w:t>
            </w:r>
          </w:p>
        </w:tc>
      </w:tr>
      <w:tr w:rsidR="00376FBD">
        <w:trPr>
          <w:trHeight w:val="227"/>
          <w:jc w:val="center"/>
        </w:trPr>
        <w:tc>
          <w:tcPr>
            <w:tcW w:w="3146" w:type="dxa"/>
            <w:vAlign w:val="center"/>
          </w:tcPr>
          <w:p w:rsidR="00376FBD" w:rsidRDefault="00A25779">
            <w:pPr>
              <w:tabs>
                <w:tab w:val="left" w:pos="567"/>
              </w:tabs>
              <w:rPr>
                <w:i/>
                <w:iCs/>
                <w:lang w:val="sr-Cyrl-RS"/>
              </w:rPr>
            </w:pPr>
            <w:r>
              <w:rPr>
                <w:lang w:val="sr-Cyrl-RS"/>
              </w:rPr>
              <w:t>колоквијум-и</w:t>
            </w:r>
          </w:p>
        </w:tc>
        <w:tc>
          <w:tcPr>
            <w:tcW w:w="1960" w:type="dxa"/>
            <w:vAlign w:val="center"/>
          </w:tcPr>
          <w:p w:rsidR="00376FBD" w:rsidRDefault="00A25779">
            <w:pPr>
              <w:tabs>
                <w:tab w:val="left" w:pos="567"/>
              </w:tabs>
              <w:jc w:val="center"/>
              <w:rPr>
                <w:bCs/>
                <w:lang w:val="sr-Cyrl-RS"/>
              </w:rPr>
            </w:pPr>
            <w:r>
              <w:rPr>
                <w:bCs/>
                <w:lang w:val="sr-Cyrl-RS"/>
              </w:rPr>
              <w:t>30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376FBD" w:rsidRDefault="00376FBD">
            <w:pPr>
              <w:tabs>
                <w:tab w:val="left" w:pos="567"/>
              </w:tabs>
              <w:rPr>
                <w:lang w:val="sr-Cyrl-RS"/>
              </w:rPr>
            </w:pPr>
          </w:p>
        </w:tc>
        <w:tc>
          <w:tcPr>
            <w:tcW w:w="1774" w:type="dxa"/>
            <w:shd w:val="clear" w:color="auto" w:fill="auto"/>
            <w:vAlign w:val="center"/>
          </w:tcPr>
          <w:p w:rsidR="00376FBD" w:rsidRDefault="00376FBD">
            <w:pPr>
              <w:tabs>
                <w:tab w:val="left" w:pos="567"/>
              </w:tabs>
              <w:jc w:val="center"/>
              <w:rPr>
                <w:i/>
                <w:iCs/>
                <w:lang w:val="sr-Cyrl-RS"/>
              </w:rPr>
            </w:pPr>
          </w:p>
        </w:tc>
      </w:tr>
    </w:tbl>
    <w:p w:rsidR="00376FBD" w:rsidRDefault="00376FBD">
      <w:pPr>
        <w:jc w:val="center"/>
        <w:rPr>
          <w:bCs/>
          <w:lang w:val="sr-Cyrl-RS"/>
        </w:rPr>
      </w:pPr>
    </w:p>
    <w:sectPr w:rsidR="00376FBD">
      <w:headerReference w:type="even" r:id="rId25"/>
      <w:headerReference w:type="default" r:id="rId26"/>
      <w:footerReference w:type="even" r:id="rId27"/>
      <w:footerReference w:type="default" r:id="rId28"/>
      <w:headerReference w:type="first" r:id="rId29"/>
      <w:footerReference w:type="first" r:id="rId30"/>
      <w:pgSz w:w="11907" w:h="16840" w:code="9"/>
      <w:pgMar w:top="2269" w:right="283" w:bottom="851" w:left="426" w:header="113" w:footer="1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3599" w:rsidRDefault="00D93599">
      <w:r>
        <w:separator/>
      </w:r>
    </w:p>
  </w:endnote>
  <w:endnote w:type="continuationSeparator" w:id="0">
    <w:p w:rsidR="00D93599" w:rsidRDefault="00D935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6FBD" w:rsidRDefault="00376FBD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6FBD" w:rsidRDefault="00A25779">
    <w:pPr>
      <w:pStyle w:val="Footer"/>
      <w:jc w:val="center"/>
      <w:rPr>
        <w:lang w:val="sr-Cyrl-RS"/>
      </w:rPr>
    </w:pPr>
    <w:r>
      <w:t>www.filfak.ni.ac.rs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6FBD" w:rsidRDefault="00376FB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3599" w:rsidRDefault="00D93599">
      <w:r>
        <w:separator/>
      </w:r>
    </w:p>
  </w:footnote>
  <w:footnote w:type="continuationSeparator" w:id="0">
    <w:p w:rsidR="00D93599" w:rsidRDefault="00D9359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6FBD" w:rsidRDefault="00376FBD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6FBD" w:rsidRDefault="00376FBD">
    <w:pPr>
      <w:pStyle w:val="Header"/>
    </w:pPr>
  </w:p>
  <w:tbl>
    <w:tblPr>
      <w:tblW w:w="9658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1633"/>
      <w:gridCol w:w="6357"/>
      <w:gridCol w:w="1668"/>
    </w:tblGrid>
    <w:tr w:rsidR="00376FBD">
      <w:trPr>
        <w:trHeight w:val="367"/>
        <w:jc w:val="center"/>
      </w:trPr>
      <w:tc>
        <w:tcPr>
          <w:tcW w:w="1515" w:type="dxa"/>
          <w:vMerge w:val="restart"/>
          <w:vAlign w:val="center"/>
        </w:tcPr>
        <w:p w:rsidR="00376FBD" w:rsidRDefault="00A25779">
          <w:pPr>
            <w:pStyle w:val="Header"/>
            <w:jc w:val="center"/>
          </w:pPr>
          <w:r>
            <w:rPr>
              <w:noProof/>
              <w:lang w:val="sr-Latn-RS" w:eastAsia="sr-Latn-RS"/>
            </w:rPr>
            <w:drawing>
              <wp:inline distT="0" distB="0" distL="0" distR="0">
                <wp:extent cx="899795" cy="899795"/>
                <wp:effectExtent l="0" t="0" r="0" b="0"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99795" cy="8997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533" w:type="dxa"/>
          <w:shd w:val="clear" w:color="auto" w:fill="FFFFFF"/>
          <w:vAlign w:val="center"/>
        </w:tcPr>
        <w:p w:rsidR="00376FBD" w:rsidRDefault="00A25779">
          <w:pPr>
            <w:pStyle w:val="Header"/>
            <w:jc w:val="center"/>
            <w:rPr>
              <w:b/>
              <w:color w:val="333399"/>
              <w:sz w:val="24"/>
              <w:szCs w:val="24"/>
            </w:rPr>
          </w:pPr>
          <w:r>
            <w:rPr>
              <w:b/>
              <w:color w:val="333399"/>
              <w:sz w:val="24"/>
              <w:szCs w:val="24"/>
              <w:lang w:val="sr-Cyrl-CS"/>
            </w:rPr>
            <w:t>Универзитет у Нишу</w:t>
          </w:r>
        </w:p>
        <w:p w:rsidR="00376FBD" w:rsidRDefault="00A25779">
          <w:pPr>
            <w:pStyle w:val="Header"/>
            <w:jc w:val="center"/>
            <w:rPr>
              <w:color w:val="333399"/>
              <w:sz w:val="24"/>
              <w:szCs w:val="24"/>
            </w:rPr>
          </w:pPr>
          <w:r>
            <w:rPr>
              <w:b/>
              <w:color w:val="333399"/>
              <w:sz w:val="24"/>
              <w:szCs w:val="24"/>
              <w:lang w:val="sr-Cyrl-CS"/>
            </w:rPr>
            <w:t>Филозофски факултет</w:t>
          </w:r>
        </w:p>
      </w:tc>
      <w:tc>
        <w:tcPr>
          <w:tcW w:w="1610" w:type="dxa"/>
          <w:vMerge w:val="restart"/>
          <w:vAlign w:val="center"/>
        </w:tcPr>
        <w:p w:rsidR="00376FBD" w:rsidRDefault="00A25779">
          <w:pPr>
            <w:pStyle w:val="Header"/>
            <w:jc w:val="center"/>
          </w:pPr>
          <w:r>
            <w:rPr>
              <w:noProof/>
              <w:lang w:val="sr-Latn-RS" w:eastAsia="sr-Latn-RS"/>
            </w:rPr>
            <w:drawing>
              <wp:inline distT="0" distB="0" distL="0" distR="0">
                <wp:extent cx="922020" cy="922020"/>
                <wp:effectExtent l="0" t="0" r="0" b="0"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22020" cy="9220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376FBD">
      <w:trPr>
        <w:trHeight w:val="467"/>
        <w:jc w:val="center"/>
      </w:trPr>
      <w:tc>
        <w:tcPr>
          <w:tcW w:w="1515" w:type="dxa"/>
          <w:vMerge/>
        </w:tcPr>
        <w:p w:rsidR="00376FBD" w:rsidRDefault="00376FBD">
          <w:pPr>
            <w:pStyle w:val="Header"/>
          </w:pPr>
        </w:p>
      </w:tc>
      <w:tc>
        <w:tcPr>
          <w:tcW w:w="6533" w:type="dxa"/>
          <w:shd w:val="clear" w:color="auto" w:fill="E6E6E6"/>
          <w:vAlign w:val="center"/>
        </w:tcPr>
        <w:p w:rsidR="00376FBD" w:rsidRDefault="00A25779">
          <w:pPr>
            <w:pStyle w:val="Header"/>
            <w:jc w:val="center"/>
            <w:rPr>
              <w:b/>
              <w:color w:val="333399"/>
              <w:sz w:val="24"/>
              <w:szCs w:val="24"/>
              <w:lang w:val="sr-Cyrl-RS"/>
            </w:rPr>
          </w:pPr>
          <w:r>
            <w:rPr>
              <w:b/>
              <w:color w:val="333399"/>
              <w:sz w:val="24"/>
              <w:szCs w:val="24"/>
              <w:lang w:val="sr-Cyrl-CS"/>
            </w:rPr>
            <w:t>Акредитација</w:t>
          </w:r>
          <w:r>
            <w:rPr>
              <w:b/>
              <w:color w:val="333399"/>
              <w:sz w:val="24"/>
              <w:szCs w:val="24"/>
              <w:lang w:val="en-US"/>
            </w:rPr>
            <w:t xml:space="preserve"> </w:t>
          </w:r>
          <w:r>
            <w:rPr>
              <w:b/>
              <w:color w:val="333399"/>
              <w:sz w:val="24"/>
              <w:szCs w:val="24"/>
              <w:lang w:val="sr-Cyrl-RS"/>
            </w:rPr>
            <w:t>студијског програма</w:t>
          </w:r>
        </w:p>
      </w:tc>
      <w:tc>
        <w:tcPr>
          <w:tcW w:w="1610" w:type="dxa"/>
          <w:vMerge/>
        </w:tcPr>
        <w:p w:rsidR="00376FBD" w:rsidRDefault="00376FBD">
          <w:pPr>
            <w:pStyle w:val="Header"/>
            <w:jc w:val="right"/>
            <w:rPr>
              <w:lang w:val="sr-Cyrl-CS"/>
            </w:rPr>
          </w:pPr>
        </w:p>
      </w:tc>
    </w:tr>
    <w:tr w:rsidR="00376FBD">
      <w:trPr>
        <w:trHeight w:val="449"/>
        <w:jc w:val="center"/>
      </w:trPr>
      <w:tc>
        <w:tcPr>
          <w:tcW w:w="1515" w:type="dxa"/>
          <w:vMerge/>
        </w:tcPr>
        <w:p w:rsidR="00376FBD" w:rsidRDefault="00376FBD">
          <w:pPr>
            <w:pStyle w:val="Header"/>
          </w:pPr>
        </w:p>
      </w:tc>
      <w:tc>
        <w:tcPr>
          <w:tcW w:w="6533" w:type="dxa"/>
          <w:shd w:val="clear" w:color="auto" w:fill="FFFFFF"/>
          <w:vAlign w:val="center"/>
        </w:tcPr>
        <w:p w:rsidR="00376FBD" w:rsidRDefault="00A25779">
          <w:pPr>
            <w:pStyle w:val="Header"/>
            <w:jc w:val="center"/>
            <w:rPr>
              <w:b/>
              <w:color w:val="333399"/>
              <w:sz w:val="24"/>
              <w:szCs w:val="24"/>
              <w:lang w:val="ru-RU"/>
            </w:rPr>
          </w:pPr>
          <w:r>
            <w:rPr>
              <w:b/>
              <w:color w:val="333399"/>
              <w:sz w:val="24"/>
              <w:szCs w:val="24"/>
              <w:lang w:val="ru-RU"/>
            </w:rPr>
            <w:t>Основне академске студије социологије</w:t>
          </w:r>
        </w:p>
      </w:tc>
      <w:tc>
        <w:tcPr>
          <w:tcW w:w="1610" w:type="dxa"/>
          <w:vMerge/>
        </w:tcPr>
        <w:p w:rsidR="00376FBD" w:rsidRDefault="00376FBD">
          <w:pPr>
            <w:pStyle w:val="Header"/>
            <w:jc w:val="right"/>
            <w:rPr>
              <w:lang w:val="sr-Cyrl-CS"/>
            </w:rPr>
          </w:pPr>
        </w:p>
      </w:tc>
    </w:tr>
  </w:tbl>
  <w:p w:rsidR="00376FBD" w:rsidRDefault="00376FBD">
    <w:pPr>
      <w:pStyle w:val="Header"/>
      <w:jc w:val="cent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6FBD" w:rsidRDefault="00376FB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C1D7F"/>
    <w:multiLevelType w:val="hybridMultilevel"/>
    <w:tmpl w:val="8BCA46A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8642412"/>
    <w:multiLevelType w:val="hybridMultilevel"/>
    <w:tmpl w:val="1D941776"/>
    <w:lvl w:ilvl="0" w:tplc="241A000F">
      <w:start w:val="1"/>
      <w:numFmt w:val="decimal"/>
      <w:lvlText w:val="%1."/>
      <w:lvlJc w:val="left"/>
      <w:pPr>
        <w:ind w:left="720" w:hanging="360"/>
      </w:p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0213EFA"/>
    <w:multiLevelType w:val="hybridMultilevel"/>
    <w:tmpl w:val="47D89A34"/>
    <w:lvl w:ilvl="0" w:tplc="F92C938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47CB6C77"/>
    <w:multiLevelType w:val="hybridMultilevel"/>
    <w:tmpl w:val="F65489B6"/>
    <w:lvl w:ilvl="0" w:tplc="3A6A46EA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2E8557D"/>
    <w:multiLevelType w:val="hybridMultilevel"/>
    <w:tmpl w:val="EC5E77E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BB73A2C"/>
    <w:multiLevelType w:val="hybridMultilevel"/>
    <w:tmpl w:val="AF9C9618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2754DE3"/>
    <w:multiLevelType w:val="hybridMultilevel"/>
    <w:tmpl w:val="7F4AA48C"/>
    <w:lvl w:ilvl="0" w:tplc="1D6073F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7C504F70"/>
    <w:multiLevelType w:val="hybridMultilevel"/>
    <w:tmpl w:val="2CE6DF6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</w:num>
  <w:num w:numId="2">
    <w:abstractNumId w:val="0"/>
  </w:num>
  <w:num w:numId="3">
    <w:abstractNumId w:val="4"/>
  </w:num>
  <w:num w:numId="4">
    <w:abstractNumId w:val="6"/>
  </w:num>
  <w:num w:numId="5">
    <w:abstractNumId w:val="2"/>
  </w:num>
  <w:num w:numId="6">
    <w:abstractNumId w:val="1"/>
  </w:num>
  <w:num w:numId="7">
    <w:abstractNumId w:val="3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6FBD"/>
    <w:rsid w:val="00376FBD"/>
    <w:rsid w:val="006C6379"/>
    <w:rsid w:val="00A25779"/>
    <w:rsid w:val="00D93599"/>
    <w:rsid w:val="00EA71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sr-Latn-RS" w:eastAsia="sr-Latn-R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annotation text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HTML Keyboard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</w:pPr>
    <w:rPr>
      <w:lang w:val="sr-Latn-CS" w:eastAsia="sr-Latn-CS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b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  <w:lang w:val="sr-Latn-CS" w:eastAsia="sr-Latn-CS"/>
    </w:rPr>
  </w:style>
  <w:style w:type="character" w:styleId="Hyperlink">
    <w:name w:val="Hyperlink"/>
    <w:uiPriority w:val="99"/>
    <w:rPr>
      <w:color w:val="0000FF"/>
      <w:u w:val="single"/>
    </w:rPr>
  </w:style>
  <w:style w:type="paragraph" w:styleId="BodyText2">
    <w:name w:val="Body Text 2"/>
    <w:basedOn w:val="Normal"/>
    <w:pPr>
      <w:widowControl/>
      <w:autoSpaceDE/>
      <w:autoSpaceDN/>
      <w:adjustRightInd/>
      <w:jc w:val="both"/>
    </w:pPr>
    <w:rPr>
      <w:sz w:val="24"/>
      <w:szCs w:val="24"/>
      <w:lang w:eastAsia="en-US"/>
    </w:rPr>
  </w:style>
  <w:style w:type="paragraph" w:styleId="BodyText">
    <w:name w:val="Body Text"/>
    <w:basedOn w:val="Normal"/>
    <w:rPr>
      <w:sz w:val="24"/>
      <w:lang w:val="sr-Cyrl-CS"/>
    </w:rPr>
  </w:style>
  <w:style w:type="character" w:styleId="FollowedHyperlink">
    <w:name w:val="FollowedHyperlink"/>
    <w:uiPriority w:val="99"/>
    <w:rPr>
      <w:color w:val="800080"/>
      <w:u w:val="single"/>
    </w:rPr>
  </w:style>
  <w:style w:type="character" w:customStyle="1" w:styleId="Mention1">
    <w:name w:val="Mention1"/>
    <w:uiPriority w:val="99"/>
    <w:semiHidden/>
    <w:unhideWhenUsed/>
    <w:rPr>
      <w:color w:val="2B579A"/>
      <w:shd w:val="clear" w:color="auto" w:fill="E6E6E6"/>
    </w:rPr>
  </w:style>
  <w:style w:type="character" w:customStyle="1" w:styleId="UnresolvedMention1">
    <w:name w:val="Unresolved Mention1"/>
    <w:uiPriority w:val="99"/>
    <w:semiHidden/>
    <w:unhideWhenUsed/>
    <w:rPr>
      <w:color w:val="808080"/>
      <w:shd w:val="clear" w:color="auto" w:fill="E6E6E6"/>
    </w:rPr>
  </w:style>
  <w:style w:type="character" w:customStyle="1" w:styleId="FootnoteTextChar">
    <w:name w:val="Footnote Text Char"/>
    <w:basedOn w:val="DefaultParagraphFont"/>
    <w:link w:val="FootnoteText"/>
    <w:uiPriority w:val="99"/>
    <w:rPr>
      <w:rFonts w:ascii="Calibri" w:eastAsia="Calibri" w:hAnsi="Calibri"/>
      <w:lang w:val="en-US" w:eastAsia="en-US"/>
    </w:rPr>
  </w:style>
  <w:style w:type="paragraph" w:styleId="FootnoteText">
    <w:name w:val="footnote text"/>
    <w:basedOn w:val="Normal"/>
    <w:link w:val="FootnoteTextChar"/>
    <w:uiPriority w:val="99"/>
    <w:unhideWhenUsed/>
    <w:pPr>
      <w:widowControl/>
      <w:autoSpaceDE/>
      <w:autoSpaceDN/>
      <w:adjustRightInd/>
      <w:jc w:val="both"/>
    </w:pPr>
    <w:rPr>
      <w:rFonts w:ascii="Calibri" w:eastAsia="Calibri" w:hAnsi="Calibri"/>
      <w:lang w:val="en-US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rPr>
      <w:rFonts w:ascii="Calibri" w:eastAsia="Calibri" w:hAnsi="Calibri"/>
      <w:lang w:val="en-US" w:eastAsia="en-US"/>
    </w:rPr>
  </w:style>
  <w:style w:type="paragraph" w:styleId="CommentText">
    <w:name w:val="annotation text"/>
    <w:basedOn w:val="Normal"/>
    <w:link w:val="CommentTextChar"/>
    <w:uiPriority w:val="99"/>
    <w:unhideWhenUsed/>
    <w:pPr>
      <w:widowControl/>
      <w:autoSpaceDE/>
      <w:autoSpaceDN/>
      <w:adjustRightInd/>
      <w:jc w:val="both"/>
    </w:pPr>
    <w:rPr>
      <w:rFonts w:ascii="Calibri" w:eastAsia="Calibri" w:hAnsi="Calibri"/>
      <w:lang w:val="en-US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Calibri" w:hAnsi="Calibri"/>
      <w:b/>
      <w:bCs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sr-Latn-RS" w:eastAsia="sr-Latn-R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annotation text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HTML Keyboard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</w:pPr>
    <w:rPr>
      <w:lang w:val="sr-Latn-CS" w:eastAsia="sr-Latn-CS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b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  <w:lang w:val="sr-Latn-CS" w:eastAsia="sr-Latn-CS"/>
    </w:rPr>
  </w:style>
  <w:style w:type="character" w:styleId="Hyperlink">
    <w:name w:val="Hyperlink"/>
    <w:uiPriority w:val="99"/>
    <w:rPr>
      <w:color w:val="0000FF"/>
      <w:u w:val="single"/>
    </w:rPr>
  </w:style>
  <w:style w:type="paragraph" w:styleId="BodyText2">
    <w:name w:val="Body Text 2"/>
    <w:basedOn w:val="Normal"/>
    <w:pPr>
      <w:widowControl/>
      <w:autoSpaceDE/>
      <w:autoSpaceDN/>
      <w:adjustRightInd/>
      <w:jc w:val="both"/>
    </w:pPr>
    <w:rPr>
      <w:sz w:val="24"/>
      <w:szCs w:val="24"/>
      <w:lang w:eastAsia="en-US"/>
    </w:rPr>
  </w:style>
  <w:style w:type="paragraph" w:styleId="BodyText">
    <w:name w:val="Body Text"/>
    <w:basedOn w:val="Normal"/>
    <w:rPr>
      <w:sz w:val="24"/>
      <w:lang w:val="sr-Cyrl-CS"/>
    </w:rPr>
  </w:style>
  <w:style w:type="character" w:styleId="FollowedHyperlink">
    <w:name w:val="FollowedHyperlink"/>
    <w:uiPriority w:val="99"/>
    <w:rPr>
      <w:color w:val="800080"/>
      <w:u w:val="single"/>
    </w:rPr>
  </w:style>
  <w:style w:type="character" w:customStyle="1" w:styleId="Mention1">
    <w:name w:val="Mention1"/>
    <w:uiPriority w:val="99"/>
    <w:semiHidden/>
    <w:unhideWhenUsed/>
    <w:rPr>
      <w:color w:val="2B579A"/>
      <w:shd w:val="clear" w:color="auto" w:fill="E6E6E6"/>
    </w:rPr>
  </w:style>
  <w:style w:type="character" w:customStyle="1" w:styleId="UnresolvedMention1">
    <w:name w:val="Unresolved Mention1"/>
    <w:uiPriority w:val="99"/>
    <w:semiHidden/>
    <w:unhideWhenUsed/>
    <w:rPr>
      <w:color w:val="808080"/>
      <w:shd w:val="clear" w:color="auto" w:fill="E6E6E6"/>
    </w:rPr>
  </w:style>
  <w:style w:type="character" w:customStyle="1" w:styleId="FootnoteTextChar">
    <w:name w:val="Footnote Text Char"/>
    <w:basedOn w:val="DefaultParagraphFont"/>
    <w:link w:val="FootnoteText"/>
    <w:uiPriority w:val="99"/>
    <w:rPr>
      <w:rFonts w:ascii="Calibri" w:eastAsia="Calibri" w:hAnsi="Calibri"/>
      <w:lang w:val="en-US" w:eastAsia="en-US"/>
    </w:rPr>
  </w:style>
  <w:style w:type="paragraph" w:styleId="FootnoteText">
    <w:name w:val="footnote text"/>
    <w:basedOn w:val="Normal"/>
    <w:link w:val="FootnoteTextChar"/>
    <w:uiPriority w:val="99"/>
    <w:unhideWhenUsed/>
    <w:pPr>
      <w:widowControl/>
      <w:autoSpaceDE/>
      <w:autoSpaceDN/>
      <w:adjustRightInd/>
      <w:jc w:val="both"/>
    </w:pPr>
    <w:rPr>
      <w:rFonts w:ascii="Calibri" w:eastAsia="Calibri" w:hAnsi="Calibri"/>
      <w:lang w:val="en-US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rPr>
      <w:rFonts w:ascii="Calibri" w:eastAsia="Calibri" w:hAnsi="Calibri"/>
      <w:lang w:val="en-US" w:eastAsia="en-US"/>
    </w:rPr>
  </w:style>
  <w:style w:type="paragraph" w:styleId="CommentText">
    <w:name w:val="annotation text"/>
    <w:basedOn w:val="Normal"/>
    <w:link w:val="CommentTextChar"/>
    <w:uiPriority w:val="99"/>
    <w:unhideWhenUsed/>
    <w:pPr>
      <w:widowControl/>
      <w:autoSpaceDE/>
      <w:autoSpaceDN/>
      <w:adjustRightInd/>
      <w:jc w:val="both"/>
    </w:pPr>
    <w:rPr>
      <w:rFonts w:ascii="Calibri" w:eastAsia="Calibri" w:hAnsi="Calibri"/>
      <w:lang w:val="en-US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Calibri" w:hAnsi="Calibri"/>
      <w:b/>
      <w:bCs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317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doi.org/10.4337/9781800376649" TargetMode="External"/><Relationship Id="rId18" Type="http://schemas.openxmlformats.org/officeDocument/2006/relationships/hyperlink" Target="https://www.routledge.com/Video-Analysis-and-Knowledge-on-Rewind-Contributions-to-Social-Theory-and-the-Sociology-of-Knowledge/Singh-MeierzuVerl-Tuma/p/book/9781032230696" TargetMode="External"/><Relationship Id="rId26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hyperlink" Target="https://mediterran.rs/knjige/dusan-marinkovic-prir-karl-manhajm/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s://izdanja.filfak.ni.ac.rs/casopisi/2023/download/4491_dcf76495e97024f2aba8fafea284bfb7" TargetMode="External"/><Relationship Id="rId17" Type="http://schemas.openxmlformats.org/officeDocument/2006/relationships/hyperlink" Target="https://www.routledge.com/Communicative-Constructivism-and-the-Empirical-Study-of-Social-Reality-Contributions-to-a-New-Theory/Knoblauch-JoshuaSchroder-Sibert-Brandt/p/book/9781032987903" TargetMode="External"/><Relationship Id="rId25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www.routledge.com/The-Communicative-Construction-of-Reality/Knoblauch/p/book/9781032084749" TargetMode="External"/><Relationship Id="rId20" Type="http://schemas.openxmlformats.org/officeDocument/2006/relationships/hyperlink" Target="https://mediterran.rs/knjige/karl-manhajm-eseji-o-sociologiji-znanja/" TargetMode="External"/><Relationship Id="rId29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link.springer.com/journal/10746/volumes-and-issues/39-1" TargetMode="External"/><Relationship Id="rId24" Type="http://schemas.openxmlformats.org/officeDocument/2006/relationships/hyperlink" Target="https://mediterran.rs/knjige/rajt-mils-moc-politika-i-ljudi/" TargetMode="External"/><Relationship Id="rId32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yperlink" Target="https://mediterran.rs/wp-content/uploads/pdf/drustvo_znanje.pdf" TargetMode="External"/><Relationship Id="rId23" Type="http://schemas.openxmlformats.org/officeDocument/2006/relationships/hyperlink" Target="https://doi.org/10.1093/oxfordhb/9780190695545.013.18" TargetMode="External"/><Relationship Id="rId28" Type="http://schemas.openxmlformats.org/officeDocument/2006/relationships/footer" Target="footer2.xml"/><Relationship Id="rId10" Type="http://schemas.openxmlformats.org/officeDocument/2006/relationships/hyperlink" Target="https://journals.sagepub.com/toc/cusa/10/1" TargetMode="External"/><Relationship Id="rId19" Type="http://schemas.openxmlformats.org/officeDocument/2006/relationships/hyperlink" Target="https://www.routledge.com/The-Reality-of-Knowledge-Towards-a-Critical-Realist-Sociology-of-Knowl/Walsh/p/book/9781003245049" TargetMode="External"/><Relationship Id="rId31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://www.ei.sanu.ac.rs/index.php/gei/issue/view/37" TargetMode="External"/><Relationship Id="rId14" Type="http://schemas.openxmlformats.org/officeDocument/2006/relationships/hyperlink" Target="https://www.e-elgar.com/shop/gbp/the-sociology-of-knowledge-9781858985886.html" TargetMode="External"/><Relationship Id="rId22" Type="http://schemas.openxmlformats.org/officeDocument/2006/relationships/hyperlink" Target="https://transmediji.wordpress.com/wp-content/uploads/2019/10/luj_altiser-ideologija_i_drzavni_ideoloski_aparati.pdf" TargetMode="External"/><Relationship Id="rId27" Type="http://schemas.openxmlformats.org/officeDocument/2006/relationships/footer" Target="footer1.xml"/><Relationship Id="rId30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03DE56-4FEE-4ACC-9344-58AAD8A978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1607</Words>
  <Characters>9163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Saša Trenčić</dc:creator>
  <cp:lastModifiedBy>LMR</cp:lastModifiedBy>
  <cp:revision>4</cp:revision>
  <cp:lastPrinted>2008-06-10T11:57:00Z</cp:lastPrinted>
  <dcterms:created xsi:type="dcterms:W3CDTF">2026-06-11T01:18:00Z</dcterms:created>
  <dcterms:modified xsi:type="dcterms:W3CDTF">2026-06-22T23:29:00Z</dcterms:modified>
</cp:coreProperties>
</file>